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w w:val="120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第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8"/>
        </w:rPr>
        <w:t>回市民スポーツ大会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w w:val="120"/>
          <w:sz w:val="28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　　　　　　　　</w:t>
      </w:r>
      <w:r>
        <w:rPr>
          <w:rFonts w:hint="eastAsia" w:ascii="ＭＳ ゴシック" w:hAnsi="ＭＳ ゴシック" w:eastAsia="ＭＳ ゴシック"/>
          <w:sz w:val="28"/>
        </w:rPr>
        <w:t>競技会収支決算書</w:t>
      </w:r>
    </w:p>
    <w:p>
      <w:pPr>
        <w:pStyle w:val="0"/>
        <w:spacing w:line="360" w:lineRule="auto"/>
        <w:ind w:right="1200"/>
        <w:rPr>
          <w:rFonts w:hint="default"/>
          <w:u w:val="single" w:color="auto"/>
        </w:rPr>
      </w:pPr>
    </w:p>
    <w:p>
      <w:pPr>
        <w:pStyle w:val="0"/>
        <w:rPr>
          <w:rFonts w:hint="default" w:eastAsia="ＭＳ ゴシック"/>
        </w:rPr>
      </w:pPr>
      <w:r>
        <w:rPr>
          <w:rFonts w:hint="eastAsia" w:eastAsia="ＭＳ ゴシック"/>
        </w:rPr>
        <w:t>収　　入　　　　　　　　　　　　　　　　　　　　　　　　　　（単位：円）</w:t>
      </w:r>
    </w:p>
    <w:tbl>
      <w:tblPr>
        <w:tblStyle w:val="11"/>
        <w:tblW w:w="819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59"/>
        <w:gridCol w:w="2070"/>
        <w:gridCol w:w="3266"/>
      </w:tblGrid>
      <w:tr>
        <w:trPr>
          <w:trHeight w:val="454" w:hRule="exact"/>
        </w:trPr>
        <w:tc>
          <w:tcPr>
            <w:tcW w:w="2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33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訳</w:t>
            </w:r>
          </w:p>
        </w:tc>
      </w:tr>
      <w:tr>
        <w:trPr>
          <w:trHeight w:val="954" w:hRule="exact"/>
        </w:trPr>
        <w:tc>
          <w:tcPr>
            <w:tcW w:w="29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59" w:firstLineChars="3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スポーツ協会大会運営費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35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2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59" w:firstLineChars="3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連盟大会運営費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3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2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3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2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3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29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3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2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3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eastAsia="ＭＳ ゴシック"/>
        </w:rPr>
      </w:pPr>
    </w:p>
    <w:p>
      <w:pPr>
        <w:pStyle w:val="0"/>
        <w:rPr>
          <w:rFonts w:hint="default" w:eastAsia="ＭＳ ゴシック"/>
        </w:rPr>
      </w:pPr>
      <w:r>
        <w:rPr>
          <w:rFonts w:hint="eastAsia" w:eastAsia="ＭＳ ゴシック"/>
        </w:rPr>
        <w:t>支　　出</w:t>
      </w:r>
    </w:p>
    <w:tbl>
      <w:tblPr>
        <w:tblStyle w:val="11"/>
        <w:tblW w:w="819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56"/>
        <w:gridCol w:w="2078"/>
        <w:gridCol w:w="3261"/>
      </w:tblGrid>
      <w:tr>
        <w:trPr>
          <w:trHeight w:val="454" w:hRule="atLeast"/>
        </w:trPr>
        <w:tc>
          <w:tcPr>
            <w:tcW w:w="2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訳</w:t>
            </w: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  <w:tc>
          <w:tcPr>
            <w:tcW w:w="20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79" w:firstLineChars="33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※収支決算書に、領収書の写しを添付すること。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487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104</Words>
  <Characters>151</Characters>
  <Application>JUST Note</Application>
  <Lines>1</Lines>
  <Paragraphs>1</Paragraphs>
  <Company>Seijoh University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第６5回市民体育大会　ビーチボール競技会収支決算書</dc:title>
  <dc:creator>owner</dc:creator>
  <cp:lastModifiedBy>田中　貴大</cp:lastModifiedBy>
  <dcterms:created xsi:type="dcterms:W3CDTF">2018-09-07T04:21:00Z</dcterms:created>
  <dcterms:modified xsi:type="dcterms:W3CDTF">2025-04-30T23:35:09Z</dcterms:modified>
  <cp:revision>4</cp:revision>
</cp:coreProperties>
</file>