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Ｐゴシック" w:hAnsi="ＭＳ Ｐゴシック" w:eastAsia="ＭＳ Ｐゴシック"/>
          <w:sz w:val="28"/>
        </w:rPr>
      </w:pPr>
      <w:r>
        <w:rPr>
          <w:rFonts w:hint="default" w:ascii="ＭＳ Ｐゴシック" w:hAnsi="ＭＳ Ｐゴシック" w:eastAsia="ＭＳ Ｐゴシック"/>
          <w:color w:val="FF0000"/>
          <w:sz w:val="28"/>
        </w:rPr>
        <mc:AlternateContent>
          <mc:Choice Requires="wps">
            <w:drawing>
              <wp:anchor distT="0" distB="0" distL="114300" distR="114300" simplePos="0" relativeHeight="2" behindDoc="0" locked="0" layoutInCell="1" hidden="0" allowOverlap="1">
                <wp:simplePos x="0" y="0"/>
                <wp:positionH relativeFrom="column">
                  <wp:posOffset>5335905</wp:posOffset>
                </wp:positionH>
                <wp:positionV relativeFrom="paragraph">
                  <wp:posOffset>-384810</wp:posOffset>
                </wp:positionV>
                <wp:extent cx="1062990" cy="358140"/>
                <wp:effectExtent l="635" t="635" r="29845" b="10795"/>
                <wp:wrapNone/>
                <wp:docPr id="1026" name="テキスト ボックス 5"/>
                <a:graphic xmlns:a="http://schemas.openxmlformats.org/drawingml/2006/main">
                  <a:graphicData uri="http://schemas.microsoft.com/office/word/2010/wordprocessingShape">
                    <wps:wsp>
                      <wps:cNvPr id="1026" name="テキスト ボックス 5"/>
                      <wps:cNvSpPr txBox="1"/>
                      <wps:spPr>
                        <a:xfrm>
                          <a:off x="0" y="0"/>
                          <a:ext cx="1062990" cy="358140"/>
                        </a:xfrm>
                        <a:prstGeom prst="rect">
                          <a:avLst/>
                        </a:prstGeom>
                        <a:solidFill>
                          <a:sysClr val="window" lastClr="FFFFFF"/>
                        </a:solidFill>
                        <a:ln w="9525" cmpd="sng">
                          <a:solidFill>
                            <a:sysClr val="windowText" lastClr="000000"/>
                          </a:solidFill>
                        </a:ln>
                        <a:effectLst/>
                      </wps:spPr>
                      <wps:txbx>
                        <w:txbxContent>
                          <w:p>
                            <w:pPr>
                              <w:pStyle w:val="18"/>
                              <w:spacing w:before="0" w:beforeLines="0" w:beforeAutospacing="0" w:after="0" w:afterLines="0" w:afterAutospacing="0" w:line="320" w:lineRule="exact"/>
                              <w:jc w:val="center"/>
                              <w:rPr>
                                <w:rFonts w:hint="default"/>
                                <w:sz w:val="28"/>
                              </w:rPr>
                            </w:pPr>
                            <w:r>
                              <w:rPr>
                                <w:rFonts w:hint="eastAsia" w:ascii="Calibri" w:hAnsi="Calibri"/>
                                <w:color w:val="000000"/>
                                <w:sz w:val="28"/>
                              </w:rPr>
                              <w:t>資料２</w:t>
                            </w:r>
                          </w:p>
                        </w:txbxContent>
                      </wps:txbx>
                      <wps:bodyPr vertOverflow="clip" horzOverflow="clip" wrap="square" rtlCol="0" anchor="ctr"/>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2;mso-wrap-distance-left:9pt;width:83.7pt;height:28.2pt;mso-position-horizontal-relative:text;position:absolute;margin-left:420.15pt;margin-top:-30.3pt;mso-wrap-distance-bottom:0pt;mso-wrap-distance-right:9pt;mso-wrap-distance-top:0pt;v-text-anchor:middle;" o:spid="_x0000_s1026" o:allowincell="t" o:allowoverlap="t" filled="t" fillcolor="#ffffff" stroked="t" strokecolor="#000000" strokeweight="0.75pt" o:spt="202" type="#_x0000_t202">
                <v:fill/>
                <v:stroke linestyle="single" filltype="solid"/>
                <v:textbox style="layout-flow:horizontal;">
                  <w:txbxContent>
                    <w:p>
                      <w:pPr>
                        <w:pStyle w:val="18"/>
                        <w:spacing w:before="0" w:beforeLines="0" w:beforeAutospacing="0" w:after="0" w:afterLines="0" w:afterAutospacing="0" w:line="320" w:lineRule="exact"/>
                        <w:jc w:val="center"/>
                        <w:rPr>
                          <w:rFonts w:hint="default"/>
                          <w:sz w:val="28"/>
                        </w:rPr>
                      </w:pPr>
                      <w:r>
                        <w:rPr>
                          <w:rFonts w:hint="eastAsia" w:ascii="Calibri" w:hAnsi="Calibri"/>
                          <w:color w:val="000000"/>
                          <w:sz w:val="28"/>
                        </w:rPr>
                        <w:t>資料２</w:t>
                      </w:r>
                    </w:p>
                  </w:txbxContent>
                </v:textbox>
                <v:imagedata o:title=""/>
                <w10:wrap type="none" anchorx="text" anchory="text"/>
              </v:shape>
            </w:pict>
          </mc:Fallback>
        </mc:AlternateContent>
      </w:r>
      <w:r>
        <w:rPr>
          <w:rFonts w:hint="eastAsia" w:ascii="ＭＳ Ｐゴシック" w:hAnsi="ＭＳ Ｐゴシック" w:eastAsia="ＭＳ Ｐゴシック"/>
          <w:sz w:val="28"/>
        </w:rPr>
        <w:t>令和８</w:t>
      </w:r>
      <w:bookmarkStart w:id="0" w:name="_GoBack"/>
      <w:bookmarkEnd w:id="0"/>
      <w:r>
        <w:rPr>
          <w:rFonts w:hint="eastAsia" w:ascii="ＭＳ Ｐゴシック" w:hAnsi="ＭＳ Ｐゴシック" w:eastAsia="ＭＳ Ｐゴシック"/>
          <w:sz w:val="28"/>
        </w:rPr>
        <w:t>年度の国民健康保険事業費納付金の本算定結果について</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１　本算定結果（尾張旭市　一般被保険者数</w:t>
      </w:r>
      <w:r>
        <w:rPr>
          <w:rFonts w:hint="eastAsia" w:ascii="ＭＳ Ｐゴシック" w:hAnsi="ＭＳ Ｐゴシック" w:eastAsia="ＭＳ Ｐゴシック"/>
        </w:rPr>
        <w:t>11,951</w:t>
      </w:r>
      <w:r>
        <w:rPr>
          <w:rFonts w:hint="eastAsia" w:ascii="ＭＳ Ｐゴシック" w:hAnsi="ＭＳ Ｐゴシック" w:eastAsia="ＭＳ Ｐゴシック"/>
        </w:rPr>
        <w:t>人）</w:t>
      </w:r>
    </w:p>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5335905</wp:posOffset>
                </wp:positionH>
                <wp:positionV relativeFrom="paragraph">
                  <wp:posOffset>195580</wp:posOffset>
                </wp:positionV>
                <wp:extent cx="885825" cy="1870075"/>
                <wp:effectExtent l="19685" t="19685" r="29845" b="20320"/>
                <wp:wrapNone/>
                <wp:docPr id="1027" name="角丸四角形 1"/>
                <a:graphic xmlns:a="http://schemas.openxmlformats.org/drawingml/2006/main">
                  <a:graphicData uri="http://schemas.microsoft.com/office/word/2010/wordprocessingShape">
                    <wps:wsp>
                      <wps:cNvPr id="1027" name="角丸四角形 1"/>
                      <wps:cNvSpPr/>
                      <wps:spPr>
                        <a:xfrm>
                          <a:off x="0" y="0"/>
                          <a:ext cx="885825" cy="187007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 style="mso-position-vertical-relative:text;z-index:3;mso-wrap-distance-left:9pt;width:69.75pt;height:147.25pt;mso-position-horizontal-relative:text;position:absolute;margin-left:420.15pt;margin-top:15.4pt;mso-wrap-distance-bottom:0pt;mso-wrap-distance-right:9pt;mso-wrap-distance-top:0pt;" o:spid="_x0000_s1027" o:allowincell="t" o:allowoverlap="t" filled="f" stroked="t" strokecolor="#ff0000" strokeweight="3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w:drawing>
          <wp:inline distT="0" distB="0" distL="203200" distR="203200">
            <wp:extent cx="6192520" cy="198945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6192520" cy="1989455"/>
                    </a:xfrm>
                    <a:prstGeom prst="rect">
                      <a:avLst/>
                    </a:prstGeom>
                  </pic:spPr>
                </pic:pic>
              </a:graphicData>
            </a:graphic>
          </wp:inline>
        </w:drawing>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２　仮算定と本算定の主な変更点</w:t>
      </w:r>
    </w:p>
    <w:tbl>
      <w:tblPr>
        <w:tblStyle w:val="25"/>
        <w:tblW w:w="9639" w:type="dxa"/>
        <w:tblInd w:w="279" w:type="dxa"/>
        <w:tblLayout w:type="fixed"/>
        <w:tblLook w:firstRow="1" w:lastRow="0" w:firstColumn="1" w:lastColumn="0" w:noHBand="0" w:noVBand="1" w:val="04A0"/>
      </w:tblPr>
      <w:tblGrid>
        <w:gridCol w:w="2693"/>
        <w:gridCol w:w="2551"/>
        <w:gridCol w:w="2552"/>
        <w:gridCol w:w="1843"/>
      </w:tblGrid>
      <w:tr>
        <w:trPr>
          <w:trHeight w:val="223" w:hRule="atLeast"/>
        </w:trPr>
        <w:tc>
          <w:tcPr>
            <w:tcW w:w="2693" w:type="dxa"/>
            <w:vAlign w:val="center"/>
          </w:tcPr>
          <w:p>
            <w:pPr>
              <w:pStyle w:val="0"/>
              <w:spacing w:line="280" w:lineRule="exact"/>
              <w:jc w:val="center"/>
              <w:rPr>
                <w:rFonts w:hint="default"/>
              </w:rPr>
            </w:pPr>
            <w:r>
              <w:rPr>
                <w:rFonts w:hint="eastAsia"/>
              </w:rPr>
              <w:t>内容</w:t>
            </w:r>
          </w:p>
        </w:tc>
        <w:tc>
          <w:tcPr>
            <w:tcW w:w="2551" w:type="dxa"/>
            <w:vAlign w:val="center"/>
          </w:tcPr>
          <w:p>
            <w:pPr>
              <w:pStyle w:val="0"/>
              <w:spacing w:line="280" w:lineRule="exact"/>
              <w:jc w:val="center"/>
              <w:rPr>
                <w:rFonts w:hint="default"/>
              </w:rPr>
            </w:pPr>
            <w:r>
              <w:rPr>
                <w:rFonts w:hint="eastAsia"/>
              </w:rPr>
              <w:t>仮算定</w:t>
            </w:r>
          </w:p>
        </w:tc>
        <w:tc>
          <w:tcPr>
            <w:tcW w:w="2552" w:type="dxa"/>
            <w:vAlign w:val="center"/>
          </w:tcPr>
          <w:p>
            <w:pPr>
              <w:pStyle w:val="0"/>
              <w:spacing w:line="280" w:lineRule="exact"/>
              <w:jc w:val="center"/>
              <w:rPr>
                <w:rFonts w:hint="default"/>
              </w:rPr>
            </w:pPr>
            <w:r>
              <w:rPr>
                <w:rFonts w:hint="eastAsia"/>
              </w:rPr>
              <w:t>本算定</w:t>
            </w:r>
          </w:p>
        </w:tc>
        <w:tc>
          <w:tcPr>
            <w:tcW w:w="1843" w:type="dxa"/>
            <w:vAlign w:val="center"/>
          </w:tcPr>
          <w:p>
            <w:pPr>
              <w:pStyle w:val="0"/>
              <w:spacing w:line="280" w:lineRule="exact"/>
              <w:jc w:val="center"/>
              <w:rPr>
                <w:rFonts w:hint="default"/>
              </w:rPr>
            </w:pPr>
            <w:r>
              <w:rPr>
                <w:rFonts w:hint="eastAsia"/>
              </w:rPr>
              <w:t>増減額等</w:t>
            </w:r>
          </w:p>
        </w:tc>
      </w:tr>
      <w:tr>
        <w:trPr>
          <w:trHeight w:val="794" w:hRule="atLeast"/>
        </w:trPr>
        <w:tc>
          <w:tcPr>
            <w:tcW w:w="2693" w:type="dxa"/>
            <w:vAlign w:val="center"/>
          </w:tcPr>
          <w:p>
            <w:pPr>
              <w:pStyle w:val="0"/>
              <w:spacing w:line="280" w:lineRule="exact"/>
              <w:rPr>
                <w:rFonts w:hint="default"/>
              </w:rPr>
            </w:pPr>
            <w:r>
              <w:rPr>
                <w:rFonts w:hint="eastAsia"/>
              </w:rPr>
              <w:t>尾張旭市納付金総額</w:t>
            </w:r>
          </w:p>
        </w:tc>
        <w:tc>
          <w:tcPr>
            <w:tcW w:w="2551" w:type="dxa"/>
            <w:vAlign w:val="center"/>
          </w:tcPr>
          <w:p>
            <w:pPr>
              <w:pStyle w:val="0"/>
              <w:spacing w:line="280" w:lineRule="exact"/>
              <w:jc w:val="right"/>
              <w:rPr>
                <w:rFonts w:hint="default"/>
              </w:rPr>
            </w:pPr>
            <w:r>
              <w:rPr>
                <w:rFonts w:hint="eastAsia"/>
              </w:rPr>
              <w:t>約</w:t>
            </w:r>
            <w:r>
              <w:rPr>
                <w:rFonts w:hint="eastAsia"/>
              </w:rPr>
              <w:t>20</w:t>
            </w:r>
            <w:r>
              <w:rPr>
                <w:rFonts w:hint="eastAsia"/>
              </w:rPr>
              <w:t>億</w:t>
            </w:r>
            <w:r>
              <w:rPr>
                <w:rFonts w:hint="eastAsia"/>
              </w:rPr>
              <w:t>9,350</w:t>
            </w:r>
            <w:r>
              <w:rPr>
                <w:rFonts w:hint="eastAsia"/>
              </w:rPr>
              <w:t>万円</w:t>
            </w:r>
          </w:p>
        </w:tc>
        <w:tc>
          <w:tcPr>
            <w:tcW w:w="2552" w:type="dxa"/>
            <w:vAlign w:val="center"/>
          </w:tcPr>
          <w:p>
            <w:pPr>
              <w:pStyle w:val="0"/>
              <w:spacing w:line="280" w:lineRule="exact"/>
              <w:jc w:val="right"/>
              <w:rPr>
                <w:rFonts w:hint="default"/>
              </w:rPr>
            </w:pPr>
            <w:r>
              <w:rPr>
                <w:rFonts w:hint="eastAsia"/>
              </w:rPr>
              <w:t>約</w:t>
            </w:r>
            <w:r>
              <w:rPr>
                <w:rFonts w:hint="eastAsia"/>
              </w:rPr>
              <w:t>21</w:t>
            </w:r>
            <w:r>
              <w:rPr>
                <w:rFonts w:hint="eastAsia"/>
              </w:rPr>
              <w:t>億</w:t>
            </w:r>
            <w:r>
              <w:rPr>
                <w:rFonts w:hint="eastAsia"/>
              </w:rPr>
              <w:t>3,880</w:t>
            </w:r>
            <w:r>
              <w:rPr>
                <w:rFonts w:hint="eastAsia"/>
              </w:rPr>
              <w:t>万円</w:t>
            </w:r>
          </w:p>
        </w:tc>
        <w:tc>
          <w:tcPr>
            <w:tcW w:w="1843" w:type="dxa"/>
            <w:vAlign w:val="center"/>
          </w:tcPr>
          <w:p>
            <w:pPr>
              <w:pStyle w:val="0"/>
              <w:spacing w:line="280" w:lineRule="exact"/>
              <w:jc w:val="right"/>
              <w:rPr>
                <w:rFonts w:hint="default"/>
              </w:rPr>
            </w:pPr>
            <w:r>
              <w:rPr>
                <w:rFonts w:hint="eastAsia"/>
              </w:rPr>
              <w:t>約＋</w:t>
            </w:r>
            <w:r>
              <w:rPr>
                <w:rFonts w:hint="eastAsia"/>
              </w:rPr>
              <w:t>4,530</w:t>
            </w:r>
            <w:r>
              <w:rPr>
                <w:rFonts w:hint="eastAsia"/>
              </w:rPr>
              <w:t>万円</w:t>
            </w:r>
          </w:p>
        </w:tc>
      </w:tr>
      <w:tr>
        <w:trPr>
          <w:trHeight w:val="794" w:hRule="atLeast"/>
        </w:trPr>
        <w:tc>
          <w:tcPr>
            <w:tcW w:w="2693" w:type="dxa"/>
            <w:vAlign w:val="center"/>
          </w:tcPr>
          <w:p>
            <w:pPr>
              <w:pStyle w:val="0"/>
              <w:spacing w:line="280" w:lineRule="exact"/>
              <w:rPr>
                <w:rFonts w:hint="default"/>
              </w:rPr>
            </w:pPr>
            <w:r>
              <w:rPr>
                <w:rFonts w:hint="eastAsia"/>
              </w:rPr>
              <w:t>一人当たりの納付金額</w:t>
            </w:r>
          </w:p>
        </w:tc>
        <w:tc>
          <w:tcPr>
            <w:tcW w:w="2551" w:type="dxa"/>
            <w:vAlign w:val="center"/>
          </w:tcPr>
          <w:p>
            <w:pPr>
              <w:pStyle w:val="0"/>
              <w:spacing w:line="280" w:lineRule="exact"/>
              <w:jc w:val="right"/>
              <w:rPr>
                <w:rFonts w:hint="default"/>
              </w:rPr>
            </w:pPr>
            <w:r>
              <w:rPr>
                <w:rFonts w:hint="eastAsia"/>
              </w:rPr>
              <w:t>愛知県</w:t>
            </w:r>
            <w:r>
              <w:rPr>
                <w:rFonts w:hint="eastAsia"/>
              </w:rPr>
              <w:t>173,726</w:t>
            </w:r>
            <w:r>
              <w:rPr>
                <w:rFonts w:hint="eastAsia"/>
              </w:rPr>
              <w:t>円</w:t>
            </w:r>
          </w:p>
          <w:p>
            <w:pPr>
              <w:pStyle w:val="0"/>
              <w:spacing w:line="280" w:lineRule="exact"/>
              <w:jc w:val="right"/>
              <w:rPr>
                <w:rFonts w:hint="default"/>
              </w:rPr>
            </w:pPr>
            <w:r>
              <w:rPr>
                <w:rFonts w:hint="eastAsia"/>
              </w:rPr>
              <w:t>尾張旭市</w:t>
            </w:r>
            <w:r>
              <w:rPr>
                <w:rFonts w:hint="eastAsia"/>
              </w:rPr>
              <w:t>175,174</w:t>
            </w:r>
            <w:r>
              <w:rPr>
                <w:rFonts w:hint="eastAsia"/>
              </w:rPr>
              <w:t>円</w:t>
            </w:r>
          </w:p>
        </w:tc>
        <w:tc>
          <w:tcPr>
            <w:tcW w:w="2552" w:type="dxa"/>
            <w:vAlign w:val="center"/>
          </w:tcPr>
          <w:p>
            <w:pPr>
              <w:pStyle w:val="0"/>
              <w:spacing w:line="280" w:lineRule="exact"/>
              <w:jc w:val="right"/>
              <w:rPr>
                <w:rFonts w:hint="default"/>
              </w:rPr>
            </w:pPr>
            <w:r>
              <w:rPr>
                <w:rFonts w:hint="eastAsia"/>
              </w:rPr>
              <w:t>愛知県</w:t>
            </w:r>
            <w:r>
              <w:rPr>
                <w:rFonts w:hint="eastAsia"/>
              </w:rPr>
              <w:t>177,502</w:t>
            </w:r>
            <w:r>
              <w:rPr>
                <w:rFonts w:hint="eastAsia"/>
              </w:rPr>
              <w:t>円</w:t>
            </w:r>
          </w:p>
          <w:p>
            <w:pPr>
              <w:pStyle w:val="0"/>
              <w:spacing w:line="280" w:lineRule="exact"/>
              <w:jc w:val="right"/>
              <w:rPr>
                <w:rFonts w:hint="default"/>
              </w:rPr>
            </w:pPr>
            <w:r>
              <w:rPr>
                <w:rFonts w:hint="eastAsia"/>
              </w:rPr>
              <w:t>尾張旭市</w:t>
            </w:r>
            <w:r>
              <w:rPr>
                <w:rFonts w:hint="eastAsia"/>
              </w:rPr>
              <w:t>178,964</w:t>
            </w:r>
            <w:r>
              <w:rPr>
                <w:rFonts w:hint="eastAsia"/>
              </w:rPr>
              <w:t>円</w:t>
            </w:r>
          </w:p>
        </w:tc>
        <w:tc>
          <w:tcPr>
            <w:tcW w:w="1843" w:type="dxa"/>
            <w:vAlign w:val="center"/>
          </w:tcPr>
          <w:p>
            <w:pPr>
              <w:pStyle w:val="0"/>
              <w:spacing w:line="280" w:lineRule="exact"/>
              <w:jc w:val="right"/>
              <w:rPr>
                <w:rFonts w:hint="default"/>
              </w:rPr>
            </w:pPr>
            <w:r>
              <w:rPr>
                <w:rFonts w:hint="eastAsia"/>
              </w:rPr>
              <w:t>＋</w:t>
            </w:r>
            <w:r>
              <w:rPr>
                <w:rFonts w:hint="eastAsia"/>
              </w:rPr>
              <w:t>3,776</w:t>
            </w:r>
            <w:r>
              <w:rPr>
                <w:rFonts w:hint="eastAsia"/>
              </w:rPr>
              <w:t>円</w:t>
            </w:r>
          </w:p>
          <w:p>
            <w:pPr>
              <w:pStyle w:val="0"/>
              <w:spacing w:line="280" w:lineRule="exact"/>
              <w:jc w:val="right"/>
              <w:rPr>
                <w:rFonts w:hint="default"/>
              </w:rPr>
            </w:pPr>
            <w:r>
              <w:rPr>
                <w:rFonts w:hint="eastAsia"/>
              </w:rPr>
              <w:t>＋</w:t>
            </w:r>
            <w:r>
              <w:rPr>
                <w:rFonts w:hint="eastAsia"/>
              </w:rPr>
              <w:t>3,790</w:t>
            </w:r>
            <w:r>
              <w:rPr>
                <w:rFonts w:hint="eastAsia"/>
              </w:rPr>
              <w:t>円</w:t>
            </w:r>
          </w:p>
        </w:tc>
      </w:tr>
    </w:tbl>
    <w:p>
      <w:pPr>
        <w:pStyle w:val="0"/>
        <w:rPr>
          <w:rFonts w:hint="default"/>
        </w:rPr>
      </w:pPr>
      <w:r>
        <w:rPr>
          <w:rFonts w:hint="eastAsia"/>
        </w:rPr>
        <w:drawing>
          <wp:inline distT="0" distB="0" distL="203200" distR="203200">
            <wp:extent cx="6192520" cy="296481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6"/>
                    <a:stretch>
                      <a:fillRect/>
                    </a:stretch>
                  </pic:blipFill>
                  <pic:spPr>
                    <a:xfrm>
                      <a:off x="0" y="0"/>
                      <a:ext cx="6192520" cy="2964815"/>
                    </a:xfrm>
                    <a:prstGeom prst="rect">
                      <a:avLst/>
                    </a:prstGeom>
                  </pic:spPr>
                </pic:pic>
              </a:graphicData>
            </a:graphic>
          </wp:inline>
        </w:drawing>
      </w:r>
    </w:p>
    <w:p>
      <w:pPr>
        <w:pStyle w:val="0"/>
        <w:rPr>
          <w:rFonts w:hint="default"/>
        </w:rPr>
      </w:pPr>
    </w:p>
    <w:p>
      <w:pPr>
        <w:pStyle w:val="0"/>
        <w:rPr>
          <w:rFonts w:hint="default" w:ascii="ＭＳ Ｐゴシック" w:hAnsi="ＭＳ Ｐゴシック" w:eastAsia="ＭＳ Ｐゴシック"/>
          <w:color w:val="FF0000"/>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３　納付金、国保税の今後の見込み</w:t>
      </w:r>
    </w:p>
    <w:p>
      <w:pPr>
        <w:pStyle w:val="0"/>
        <w:ind w:left="240" w:leftChars="100" w:firstLine="260" w:firstLineChars="100"/>
        <w:rPr>
          <w:rFonts w:hint="default"/>
          <w:sz w:val="26"/>
        </w:rPr>
      </w:pPr>
      <w:r>
        <w:rPr>
          <w:rFonts w:hint="eastAsia"/>
        </w:rPr>
        <w:t>現在、本市では財政補填のため一般会計からの繰り入れを行っているため、令和</w:t>
      </w:r>
      <w:r>
        <w:rPr>
          <w:rFonts w:hint="eastAsia"/>
        </w:rPr>
        <w:t>7</w:t>
      </w:r>
      <w:r>
        <w:rPr>
          <w:rFonts w:hint="eastAsia"/>
        </w:rPr>
        <w:t>年度を始期とした赤字削減・解消計画を策定しています。</w:t>
      </w:r>
    </w:p>
    <w:p>
      <w:pPr>
        <w:pStyle w:val="0"/>
        <w:spacing w:line="300" w:lineRule="exact"/>
        <w:ind w:left="240" w:leftChars="100" w:firstLine="260" w:firstLineChars="100"/>
        <w:rPr>
          <w:rFonts w:hint="default"/>
          <w:sz w:val="26"/>
        </w:rPr>
      </w:pPr>
      <w:r>
        <w:rPr>
          <w:rFonts w:hint="eastAsia"/>
          <w:sz w:val="26"/>
        </w:rPr>
        <w:t>そのため、令和８年度以降も愛知県の示す標準保険料率に近づけるための税率改定を行いつつ、一般会計からの繰り入れを令和１１年度までに０にする必要があります。</w:t>
      </w:r>
    </w:p>
    <w:sectPr>
      <w:pgSz w:w="11906" w:h="16838"/>
      <w:pgMar w:top="1134" w:right="1077" w:bottom="851" w:left="1077" w:header="851" w:footer="992" w:gutter="0"/>
      <w:cols w:space="720"/>
      <w:textDirection w:val="lrTb"/>
      <w:docGrid w:type="line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Normal (Web)"/>
    <w:basedOn w:val="0"/>
    <w:next w:val="1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232</TotalTime>
  <Pages>1</Pages>
  <Words>23</Words>
  <Characters>347</Characters>
  <Application>JUST Note</Application>
  <Lines>30</Lines>
  <Paragraphs>22</Paragraphs>
  <Company>尾張旭市役所</Company>
  <CharactersWithSpaces>351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hinauser</dc:creator>
  <cp:lastModifiedBy>小川真貴子</cp:lastModifiedBy>
  <cp:lastPrinted>2026-01-21T00:26:29Z</cp:lastPrinted>
  <dcterms:created xsi:type="dcterms:W3CDTF">2024-01-12T07:00:00Z</dcterms:created>
  <dcterms:modified xsi:type="dcterms:W3CDTF">2026-01-14T07:44:02Z</dcterms:modified>
  <cp:revision>19</cp:revision>
</cp:coreProperties>
</file>