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sz w:val="28"/>
        </w:rPr>
      </w:pPr>
      <w:r>
        <w:rPr>
          <w:rFonts w:hint="eastAsia" w:ascii="BIZ UDPゴシック" w:hAnsi="BIZ UDPゴシック" w:eastAsia="BIZ UDPゴシック"/>
          <w:sz w:val="28"/>
        </w:rPr>
        <w:t>国民健康保険税の税率等の改定について</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昨年１２月の国保運営協議会で申し上げたとおり、近年、医療の高度化や国保被保険者の高齢化などにより、一人当たり医療費は年々増加している一方、被保険者数の減少により保険税収入は年々減少しており、国保の運営は独立採算が原則ですが、令和５年度において赤字決算となったことや、令和６年度・令和７年度においては一般会計から３億円以上の公金の投入が行われていることなど、財政運営は一層厳しさを増しております。</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そのため、令和８年度以降も、本市の現行税率と事業費納付金の本算定結果で示された標準保険税率を比べ、特に乖離の大きな項目について標準保険税率に近づけることとし、令和８年度の税率（案）を以下の通り試算しました。</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3669665</wp:posOffset>
                </wp:positionH>
                <wp:positionV relativeFrom="paragraph">
                  <wp:posOffset>487045</wp:posOffset>
                </wp:positionV>
                <wp:extent cx="1085850" cy="3111500"/>
                <wp:effectExtent l="19685" t="19685" r="29845" b="20320"/>
                <wp:wrapNone/>
                <wp:docPr id="1026" name="角丸四角形 4"/>
                <a:graphic xmlns:a="http://schemas.openxmlformats.org/drawingml/2006/main">
                  <a:graphicData uri="http://schemas.microsoft.com/office/word/2010/wordprocessingShape">
                    <wps:wsp>
                      <wps:cNvPr id="1026" name="角丸四角形 4"/>
                      <wps:cNvSpPr/>
                      <wps:spPr>
                        <a:xfrm>
                          <a:off x="0" y="0"/>
                          <a:ext cx="1085850" cy="311150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4" style="mso-position-vertical-relative:text;z-index:2;mso-wrap-distance-left:9pt;width:85.5pt;height:245pt;mso-position-horizontal-relative:text;position:absolute;margin-left:288.95pt;margin-top:38.35pt;mso-wrap-distance-bottom:0pt;mso-wrap-distance-right:9pt;mso-wrap-distance-top:0pt;" o:spid="_x0000_s1026" o:allowincell="t" o:allowoverlap="t" filled="f" stroked="t" strokecolor="#ff0000" strokeweight="3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w:drawing>
          <wp:inline distT="0" distB="0" distL="203200" distR="203200">
            <wp:extent cx="5495925" cy="3543300"/>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495925" cy="3543300"/>
                    </a:xfrm>
                    <a:prstGeom prst="rect">
                      <a:avLst/>
                    </a:prstGeom>
                  </pic:spPr>
                </pic:pic>
              </a:graphicData>
            </a:graphic>
          </wp:inline>
        </w:drawing>
      </w:r>
    </w:p>
    <w:p>
      <w:pPr>
        <w:pStyle w:val="0"/>
        <w:rPr>
          <w:rFonts w:hint="default"/>
        </w:rPr>
      </w:pPr>
    </w:p>
    <w:p>
      <w:pPr>
        <w:pStyle w:val="0"/>
        <w:spacing w:line="360" w:lineRule="auto"/>
        <w:rPr>
          <w:rFonts w:hint="default" w:ascii="BIZ UDPゴシック" w:hAnsi="BIZ UDPゴシック" w:eastAsia="BIZ UDPゴシック"/>
          <w:sz w:val="24"/>
        </w:rPr>
      </w:pPr>
      <w:r>
        <w:rPr>
          <w:rFonts w:hint="eastAsia" w:ascii="BIZ UDPゴシック" w:hAnsi="BIZ UDPゴシック" w:eastAsia="BIZ UDPゴシック"/>
          <w:sz w:val="24"/>
        </w:rPr>
        <w:t>国民健康保険特別会計繰出金の内訳（令和７年度は１２月補正後、令和８年度は予定）</w:t>
      </w:r>
    </w:p>
    <w:tbl>
      <w:tblPr>
        <w:tblStyle w:val="24"/>
        <w:tblW w:w="9493" w:type="dxa"/>
        <w:tblInd w:w="0" w:type="dxa"/>
        <w:tblLayout w:type="fixed"/>
        <w:tblLook w:firstRow="1" w:lastRow="0" w:firstColumn="1" w:lastColumn="0" w:noHBand="0" w:noVBand="1" w:val="04A0"/>
      </w:tblPr>
      <w:tblGrid>
        <w:gridCol w:w="1838"/>
        <w:gridCol w:w="1701"/>
        <w:gridCol w:w="2977"/>
        <w:gridCol w:w="2977"/>
      </w:tblGrid>
      <w:tr>
        <w:trPr/>
        <w:tc>
          <w:tcPr>
            <w:tcW w:w="1838" w:type="dxa"/>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年　度</w:t>
            </w:r>
          </w:p>
        </w:tc>
        <w:tc>
          <w:tcPr>
            <w:tcW w:w="4678" w:type="dxa"/>
            <w:gridSpan w:val="2"/>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内　　　訳</w:t>
            </w:r>
          </w:p>
        </w:tc>
        <w:tc>
          <w:tcPr>
            <w:tcW w:w="2977" w:type="dxa"/>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合　　　計</w:t>
            </w:r>
          </w:p>
        </w:tc>
      </w:tr>
      <w:tr>
        <w:trPr/>
        <w:tc>
          <w:tcPr>
            <w:tcW w:w="1838" w:type="dxa"/>
            <w:vMerge w:val="restart"/>
            <w:vAlign w:val="top"/>
          </w:tcPr>
          <w:p>
            <w:pPr>
              <w:pStyle w:val="0"/>
              <w:spacing w:line="360" w:lineRule="auto"/>
              <w:jc w:val="center"/>
              <w:rPr>
                <w:rFonts w:hint="default" w:ascii="BIZ UDPゴシック" w:hAnsi="BIZ UDPゴシック" w:eastAsia="BIZ UDPゴシック"/>
                <w:sz w:val="22"/>
              </w:rPr>
            </w:pPr>
          </w:p>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令和７年度</w:t>
            </w:r>
          </w:p>
        </w:tc>
        <w:tc>
          <w:tcPr>
            <w:tcW w:w="1701" w:type="dxa"/>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法定分</w:t>
            </w:r>
          </w:p>
        </w:tc>
        <w:tc>
          <w:tcPr>
            <w:tcW w:w="2977" w:type="dxa"/>
            <w:vAlign w:val="top"/>
          </w:tcPr>
          <w:p>
            <w:pPr>
              <w:pStyle w:val="0"/>
              <w:spacing w:line="360" w:lineRule="auto"/>
              <w:ind w:firstLine="550" w:firstLineChars="250"/>
              <w:rPr>
                <w:rFonts w:hint="default" w:ascii="BIZ UDPゴシック" w:hAnsi="BIZ UDPゴシック" w:eastAsia="BIZ UDPゴシック"/>
                <w:sz w:val="22"/>
              </w:rPr>
            </w:pPr>
            <w:r>
              <w:rPr>
                <w:rFonts w:hint="eastAsia" w:ascii="BIZ UDPゴシック" w:hAnsi="BIZ UDPゴシック" w:eastAsia="BIZ UDPゴシック"/>
                <w:sz w:val="22"/>
              </w:rPr>
              <w:t>４９３，８３７千円</w:t>
            </w:r>
          </w:p>
        </w:tc>
        <w:tc>
          <w:tcPr>
            <w:tcW w:w="2977" w:type="dxa"/>
            <w:vMerge w:val="restart"/>
            <w:vAlign w:val="top"/>
          </w:tcPr>
          <w:p>
            <w:pPr>
              <w:pStyle w:val="0"/>
              <w:spacing w:line="360" w:lineRule="auto"/>
              <w:rPr>
                <w:rFonts w:hint="default" w:ascii="BIZ UDPゴシック" w:hAnsi="BIZ UDPゴシック" w:eastAsia="BIZ UDPゴシック"/>
                <w:sz w:val="22"/>
              </w:rPr>
            </w:pPr>
          </w:p>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default" w:ascii="BIZ UDPゴシック" w:hAnsi="BIZ UDPゴシック" w:eastAsia="BIZ UDPゴシック"/>
                <w:sz w:val="22"/>
              </w:rPr>
              <w:t xml:space="preserve">  </w:t>
            </w:r>
            <w:r>
              <w:rPr>
                <w:rFonts w:hint="eastAsia" w:ascii="BIZ UDPゴシック" w:hAnsi="BIZ UDPゴシック" w:eastAsia="BIZ UDPゴシック"/>
                <w:sz w:val="22"/>
              </w:rPr>
              <w:t>８２６，２９９千円</w:t>
            </w:r>
          </w:p>
        </w:tc>
      </w:tr>
      <w:tr>
        <w:trPr>
          <w:trHeight w:val="730" w:hRule="atLeast"/>
        </w:trPr>
        <w:tc>
          <w:tcPr>
            <w:tcW w:w="1838" w:type="dxa"/>
            <w:vMerge w:val="continue"/>
            <w:vAlign w:val="top"/>
          </w:tcPr>
          <w:p>
            <w:pPr>
              <w:pStyle w:val="0"/>
              <w:spacing w:line="360" w:lineRule="auto"/>
              <w:jc w:val="center"/>
              <w:rPr>
                <w:rFonts w:hint="default" w:ascii="BIZ UDPゴシック" w:hAnsi="BIZ UDPゴシック" w:eastAsia="BIZ UDPゴシック"/>
                <w:sz w:val="22"/>
              </w:rPr>
            </w:pPr>
          </w:p>
        </w:tc>
        <w:tc>
          <w:tcPr>
            <w:tcW w:w="1701" w:type="dxa"/>
            <w:vAlign w:val="top"/>
          </w:tcPr>
          <w:p>
            <w:pPr>
              <w:pStyle w:val="0"/>
              <w:spacing w:line="720" w:lineRule="auto"/>
              <w:ind w:firstLine="330" w:firstLineChars="150"/>
              <w:rPr>
                <w:rFonts w:hint="default" w:ascii="BIZ UDPゴシック" w:hAnsi="BIZ UDPゴシック" w:eastAsia="BIZ UDPゴシック"/>
                <w:sz w:val="22"/>
              </w:rPr>
            </w:pPr>
            <w:r>
              <w:rPr>
                <w:rFonts w:hint="eastAsia" w:ascii="BIZ UDPゴシック" w:hAnsi="BIZ UDPゴシック" w:eastAsia="BIZ UDPゴシック"/>
                <w:sz w:val="22"/>
              </w:rPr>
              <w:t>法定外分</w:t>
            </w:r>
          </w:p>
        </w:tc>
        <w:tc>
          <w:tcPr>
            <w:tcW w:w="2977" w:type="dxa"/>
            <w:vAlign w:val="top"/>
          </w:tcPr>
          <w:p>
            <w:pPr>
              <w:pStyle w:val="0"/>
              <w:spacing w:line="360" w:lineRule="auto"/>
              <w:ind w:firstLine="660" w:firstLineChars="300"/>
              <w:rPr>
                <w:rFonts w:hint="default" w:ascii="BIZ UDPゴシック" w:hAnsi="BIZ UDPゴシック" w:eastAsia="BIZ UDPゴシック"/>
                <w:sz w:val="22"/>
              </w:rPr>
            </w:pPr>
            <w:r>
              <w:rPr>
                <w:rFonts w:hint="eastAsia" w:ascii="BIZ UDPゴシック" w:hAnsi="BIZ UDPゴシック" w:eastAsia="BIZ UDPゴシック"/>
                <w:sz w:val="22"/>
              </w:rPr>
              <w:t>３２，４６２千円</w:t>
            </w:r>
          </w:p>
          <w:p>
            <w:pPr>
              <w:pStyle w:val="0"/>
              <w:spacing w:line="360" w:lineRule="auto"/>
              <w:ind w:firstLine="330" w:firstLineChars="150"/>
              <w:rPr>
                <w:rFonts w:hint="default" w:ascii="BIZ UDPゴシック" w:hAnsi="BIZ UDPゴシック" w:eastAsia="BIZ UDPゴシック"/>
                <w:sz w:val="22"/>
              </w:rPr>
            </w:pPr>
            <w:r>
              <w:rPr>
                <w:rFonts w:hint="eastAsia" w:ascii="BIZ UDPゴシック" w:hAnsi="BIZ UDPゴシック" w:eastAsia="BIZ UDPゴシック"/>
                <w:sz w:val="22"/>
              </w:rPr>
              <w:t>＋３００，０００千円</w:t>
            </w:r>
          </w:p>
        </w:tc>
        <w:tc>
          <w:tcPr>
            <w:tcW w:w="2977" w:type="dxa"/>
            <w:vMerge w:val="continue"/>
            <w:vAlign w:val="top"/>
          </w:tcPr>
          <w:p>
            <w:pPr>
              <w:pStyle w:val="0"/>
              <w:spacing w:line="360" w:lineRule="auto"/>
              <w:rPr>
                <w:rFonts w:hint="default" w:ascii="BIZ UDPゴシック" w:hAnsi="BIZ UDPゴシック" w:eastAsia="BIZ UDPゴシック"/>
                <w:sz w:val="22"/>
              </w:rPr>
            </w:pPr>
          </w:p>
        </w:tc>
      </w:tr>
      <w:tr>
        <w:trPr/>
        <w:tc>
          <w:tcPr>
            <w:tcW w:w="1838" w:type="dxa"/>
            <w:vMerge w:val="restart"/>
            <w:vAlign w:val="top"/>
          </w:tcPr>
          <w:p>
            <w:pPr>
              <w:pStyle w:val="0"/>
              <w:spacing w:line="360" w:lineRule="auto"/>
              <w:jc w:val="center"/>
              <w:rPr>
                <w:rFonts w:hint="default" w:ascii="BIZ UDPゴシック" w:hAnsi="BIZ UDPゴシック" w:eastAsia="BIZ UDPゴシック"/>
                <w:sz w:val="22"/>
              </w:rPr>
            </w:pPr>
          </w:p>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令和８年度</w:t>
            </w:r>
          </w:p>
        </w:tc>
        <w:tc>
          <w:tcPr>
            <w:tcW w:w="1701" w:type="dxa"/>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法定分</w:t>
            </w:r>
          </w:p>
        </w:tc>
        <w:tc>
          <w:tcPr>
            <w:tcW w:w="2977" w:type="dxa"/>
            <w:vAlign w:val="top"/>
          </w:tcPr>
          <w:p>
            <w:pPr>
              <w:pStyle w:val="0"/>
              <w:spacing w:line="360" w:lineRule="auto"/>
              <w:ind w:firstLine="550" w:firstLineChars="250"/>
              <w:rPr>
                <w:rFonts w:hint="default" w:ascii="BIZ UDPゴシック" w:hAnsi="BIZ UDPゴシック" w:eastAsia="BIZ UDPゴシック"/>
                <w:sz w:val="22"/>
              </w:rPr>
            </w:pPr>
            <w:r>
              <w:rPr>
                <w:rFonts w:hint="eastAsia" w:ascii="BIZ UDPゴシック" w:hAnsi="BIZ UDPゴシック" w:eastAsia="BIZ UDPゴシック"/>
                <w:sz w:val="22"/>
              </w:rPr>
              <w:t>４７６，８４５千円</w:t>
            </w:r>
          </w:p>
        </w:tc>
        <w:tc>
          <w:tcPr>
            <w:tcW w:w="2977" w:type="dxa"/>
            <w:vMerge w:val="restart"/>
            <w:vAlign w:val="top"/>
          </w:tcPr>
          <w:p>
            <w:pPr>
              <w:pStyle w:val="0"/>
              <w:spacing w:line="360" w:lineRule="auto"/>
              <w:rPr>
                <w:rFonts w:hint="default" w:ascii="BIZ UDPゴシック" w:hAnsi="BIZ UDPゴシック" w:eastAsia="BIZ UDPゴシック"/>
                <w:sz w:val="22"/>
              </w:rPr>
            </w:pPr>
          </w:p>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default" w:ascii="BIZ UDPゴシック" w:hAnsi="BIZ UDPゴシック" w:eastAsia="BIZ UDPゴシック"/>
                <w:sz w:val="22"/>
              </w:rPr>
              <w:t xml:space="preserve"> </w: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７２９，９９１千円</w:t>
            </w:r>
          </w:p>
        </w:tc>
      </w:tr>
      <w:tr>
        <w:trPr>
          <w:trHeight w:val="730" w:hRule="atLeast"/>
        </w:trPr>
        <w:tc>
          <w:tcPr>
            <w:tcW w:w="1838" w:type="dxa"/>
            <w:vMerge w:val="continue"/>
            <w:vAlign w:val="top"/>
          </w:tcPr>
          <w:p>
            <w:pPr>
              <w:pStyle w:val="0"/>
              <w:rPr>
                <w:rFonts w:hint="eastAsia"/>
              </w:rPr>
            </w:pPr>
          </w:p>
        </w:tc>
        <w:tc>
          <w:tcPr>
            <w:tcW w:w="1701" w:type="dxa"/>
            <w:vAlign w:val="top"/>
          </w:tcPr>
          <w:p>
            <w:pPr>
              <w:pStyle w:val="0"/>
              <w:spacing w:line="72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法定外分</w:t>
            </w:r>
          </w:p>
        </w:tc>
        <w:tc>
          <w:tcPr>
            <w:tcW w:w="2977" w:type="dxa"/>
            <w:vAlign w:val="top"/>
          </w:tcPr>
          <w:p>
            <w:pPr>
              <w:pStyle w:val="0"/>
              <w:spacing w:line="360" w:lineRule="auto"/>
              <w:ind w:firstLine="550" w:firstLineChars="250"/>
              <w:rPr>
                <w:rFonts w:hint="default" w:ascii="BIZ UDPゴシック" w:hAnsi="BIZ UDPゴシック" w:eastAsia="BIZ UDPゴシック"/>
                <w:sz w:val="22"/>
              </w:rPr>
            </w:pPr>
            <w:r>
              <w:rPr>
                <w:rFonts w:hint="eastAsia" w:ascii="BIZ UDPゴシック" w:hAnsi="BIZ UDPゴシック" w:eastAsia="BIZ UDPゴシック"/>
                <w:sz w:val="22"/>
              </w:rPr>
              <w:t>　５３，１４６千円</w:t>
            </w:r>
          </w:p>
          <w:p>
            <w:pPr>
              <w:pStyle w:val="0"/>
              <w:spacing w:line="360" w:lineRule="auto"/>
              <w:rPr>
                <w:rFonts w:hint="default" w:ascii="HGP創英角ｺﾞｼｯｸUB" w:hAnsi="HGP創英角ｺﾞｼｯｸUB" w:eastAsia="HGP創英角ｺﾞｼｯｸUB"/>
                <w:b w:val="1"/>
                <w:sz w:val="22"/>
              </w:rPr>
            </w:pPr>
            <w:r>
              <w:rPr>
                <w:rFonts w:hint="eastAsia" w:ascii="BIZ UDPゴシック" w:hAnsi="BIZ UDPゴシック" w:eastAsia="BIZ UDPゴシック"/>
                <w:sz w:val="22"/>
              </w:rPr>
              <mc:AlternateContent>
                <mc:Choice Requires="wps">
                  <w:drawing>
                    <wp:anchor distT="0" distB="0" distL="114300" distR="114300" simplePos="0" relativeHeight="4" behindDoc="0" locked="0" layoutInCell="1" hidden="0" allowOverlap="1">
                      <wp:simplePos x="0" y="0"/>
                      <wp:positionH relativeFrom="column">
                        <wp:posOffset>198120</wp:posOffset>
                      </wp:positionH>
                      <wp:positionV relativeFrom="paragraph">
                        <wp:posOffset>30480</wp:posOffset>
                      </wp:positionV>
                      <wp:extent cx="1266825" cy="295275"/>
                      <wp:effectExtent l="19685" t="19685" r="29845" b="20320"/>
                      <wp:wrapNone/>
                      <wp:docPr id="1028" name="角丸四角形 1"/>
                      <a:graphic xmlns:a="http://schemas.openxmlformats.org/drawingml/2006/main">
                        <a:graphicData uri="http://schemas.microsoft.com/office/word/2010/wordprocessingShape">
                          <wps:wsp>
                            <wps:cNvPr id="1028" name="角丸四角形 1"/>
                            <wps:cNvSpPr/>
                            <wps:spPr>
                              <a:xfrm>
                                <a:off x="0" y="0"/>
                                <a:ext cx="1266825" cy="2952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position-vertical-relative:text;z-index:4;mso-wrap-distance-left:9pt;width:99.75pt;height:23.25pt;mso-position-horizontal-relative:text;position:absolute;margin-left:15.6pt;margin-top:2.4pt;mso-wrap-distance-bottom:0pt;mso-wrap-distance-right:9pt;mso-wrap-distance-top:0pt;" o:spid="_x0000_s1028" o:allowincell="t" o:allowoverlap="t" filled="f" stroked="t" strokecolor="#42709c" strokeweight="3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ゴシック" w:hAnsi="BIZ UDPゴシック" w:eastAsia="BIZ UDPゴシック"/>
                <w:sz w:val="22"/>
              </w:rPr>
              <w:t>　</w:t>
            </w:r>
            <w:r>
              <w:rPr>
                <w:rFonts w:hint="eastAsia" w:ascii="BIZ UDPゴシック" w:hAnsi="BIZ UDPゴシック" w:eastAsia="BIZ UDPゴシック"/>
                <w:sz w:val="22"/>
              </w:rPr>
              <w:t xml:space="preserve"> </w:t>
            </w:r>
            <w:r>
              <w:rPr>
                <w:rFonts w:hint="default" w:ascii="BIZ UDPゴシック" w:hAnsi="BIZ UDPゴシック" w:eastAsia="BIZ UDPゴシック"/>
                <w:sz w:val="22"/>
              </w:rPr>
              <w:t xml:space="preserve"> </w:t>
            </w:r>
            <w:r>
              <w:rPr>
                <w:rFonts w:hint="eastAsia" w:ascii="HGP創英角ｺﾞｼｯｸUB" w:hAnsi="HGP創英角ｺﾞｼｯｸUB" w:eastAsia="HGP創英角ｺﾞｼｯｸUB"/>
                <w:b w:val="1"/>
                <w:sz w:val="22"/>
              </w:rPr>
              <w:t>＋２２０，０００千円</w:t>
            </w:r>
          </w:p>
        </w:tc>
        <w:tc>
          <w:tcPr>
            <w:tcW w:w="2977" w:type="dxa"/>
            <w:vMerge w:val="continue"/>
            <w:vAlign w:val="top"/>
          </w:tcPr>
          <w:p>
            <w:pPr>
              <w:pStyle w:val="0"/>
              <w:rPr>
                <w:rFonts w:hint="eastAsia"/>
              </w:rPr>
            </w:pPr>
          </w:p>
        </w:tc>
      </w:tr>
    </w:tbl>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6"/>
        </w:rPr>
      </w:pPr>
      <w:r>
        <w:rPr>
          <w:rFonts w:hint="eastAsia" w:ascii="ＭＳ ゴシック" w:hAnsi="ＭＳ ゴシック" w:eastAsia="ＭＳ ゴシック"/>
          <w:sz w:val="28"/>
        </w:rPr>
        <w:t>【試算結果】</w:t>
      </w:r>
    </w:p>
    <w:p>
      <w:pPr>
        <w:pStyle w:val="0"/>
        <w:rPr>
          <w:rFonts w:hint="default" w:ascii="HG丸ｺﾞｼｯｸM-PRO" w:hAnsi="HG丸ｺﾞｼｯｸM-PRO" w:eastAsia="HG丸ｺﾞｼｯｸM-PRO"/>
          <w:sz w:val="24"/>
        </w:rPr>
      </w:pPr>
    </w:p>
    <w:p>
      <w:pPr>
        <w:pStyle w:val="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今回の税率改定によってどんな世帯にどんな影響が生じるのか、いくつかのモデルケースを</w:t>
      </w:r>
    </w:p>
    <w:p>
      <w:pPr>
        <w:pStyle w:val="0"/>
        <w:rPr>
          <w:rFonts w:hint="default"/>
          <w:sz w:val="24"/>
        </w:rPr>
      </w:pPr>
      <w:r>
        <w:rPr>
          <w:rFonts w:hint="eastAsia" w:ascii="HG丸ｺﾞｼｯｸM-PRO" w:hAnsi="HG丸ｺﾞｼｯｸM-PRO" w:eastAsia="HG丸ｺﾞｼｯｸM-PRO"/>
          <w:sz w:val="24"/>
        </w:rPr>
        <w:t>用いて試算しました。</w:t>
      </w:r>
    </w:p>
    <w:p>
      <w:pPr>
        <w:pStyle w:val="0"/>
        <w:rPr>
          <w:rFonts w:hint="default"/>
        </w:rPr>
      </w:pPr>
      <w:r>
        <w:rPr>
          <w:rFonts w:hint="eastAsia"/>
        </w:rPr>
        <w:t>　　　　　　　　　　　　　　　　　　　　　　　　　　　　　　　　　　　　　　（年税額：円）</w:t>
      </w:r>
    </w:p>
    <w:tbl>
      <w:tblPr>
        <w:tblStyle w:val="24"/>
        <w:tblW w:w="10179" w:type="dxa"/>
        <w:tblInd w:w="0" w:type="dxa"/>
        <w:tblLayout w:type="fixed"/>
        <w:tblLook w:firstRow="1" w:lastRow="0" w:firstColumn="1" w:lastColumn="0" w:noHBand="0" w:noVBand="1" w:val="04A0"/>
      </w:tblPr>
      <w:tblGrid>
        <w:gridCol w:w="2899"/>
        <w:gridCol w:w="1931"/>
        <w:gridCol w:w="1877"/>
        <w:gridCol w:w="1792"/>
        <w:gridCol w:w="1680"/>
      </w:tblGrid>
      <w:tr>
        <w:trPr>
          <w:trHeight w:val="1099" w:hRule="atLeast"/>
        </w:trPr>
        <w:tc>
          <w:tcPr>
            <w:tcW w:w="2899"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世帯状況</w:t>
            </w:r>
          </w:p>
          <w:p>
            <w:pPr>
              <w:pStyle w:val="0"/>
              <w:spacing w:line="120" w:lineRule="auto"/>
              <w:jc w:val="center"/>
              <w:rPr>
                <w:rFonts w:hint="default" w:ascii="HG丸ｺﾞｼｯｸM-PRO" w:hAnsi="HG丸ｺﾞｼｯｸM-PRO" w:eastAsia="HG丸ｺﾞｼｯｸM-PRO"/>
                <w:sz w:val="22"/>
              </w:rPr>
            </w:pPr>
          </w:p>
        </w:tc>
        <w:tc>
          <w:tcPr>
            <w:tcW w:w="1931"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改定前</w:t>
            </w:r>
          </w:p>
          <w:p>
            <w:pPr>
              <w:pStyle w:val="0"/>
              <w:spacing w:line="120" w:lineRule="auto"/>
              <w:jc w:val="center"/>
              <w:rPr>
                <w:rFonts w:hint="default" w:ascii="HG丸ｺﾞｼｯｸM-PRO" w:hAnsi="HG丸ｺﾞｼｯｸM-PRO" w:eastAsia="HG丸ｺﾞｼｯｸM-PRO"/>
                <w:sz w:val="22"/>
              </w:rPr>
            </w:pPr>
          </w:p>
        </w:tc>
        <w:tc>
          <w:tcPr>
            <w:tcW w:w="1877"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改定後</w:t>
            </w:r>
          </w:p>
        </w:tc>
        <w:tc>
          <w:tcPr>
            <w:tcW w:w="1792"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差額</w:t>
            </w:r>
          </w:p>
        </w:tc>
        <w:tc>
          <w:tcPr>
            <w:tcW w:w="1680" w:type="dxa"/>
            <w:vAlign w:val="top"/>
          </w:tcPr>
          <w:p>
            <w:pPr>
              <w:pStyle w:val="0"/>
              <w:spacing w:line="120" w:lineRule="auto"/>
              <w:jc w:val="center"/>
              <w:rPr>
                <w:rFonts w:hint="default" w:ascii="HG丸ｺﾞｼｯｸM-PRO" w:hAnsi="HG丸ｺﾞｼｯｸM-PRO" w:eastAsia="HG丸ｺﾞｼｯｸM-PRO"/>
                <w:sz w:val="22"/>
              </w:rPr>
            </w:pPr>
          </w:p>
          <w:p>
            <w:pPr>
              <w:pStyle w:val="0"/>
              <w:spacing w:line="120" w:lineRule="auto"/>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増加率</w:t>
            </w:r>
          </w:p>
        </w:tc>
      </w:tr>
      <w:tr>
        <w:trPr>
          <w:trHeight w:val="1250"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単身世帯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w:t>
            </w:r>
            <w:r>
              <w:rPr>
                <w:rFonts w:hint="eastAsia" w:ascii="HG丸ｺﾞｼｯｸM-PRO" w:hAnsi="HG丸ｺﾞｼｯｸM-PRO" w:eastAsia="HG丸ｺﾞｼｯｸM-PRO"/>
                <w:sz w:val="22"/>
              </w:rPr>
              <w:t>割軽減世帯</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５</w:t>
            </w:r>
            <w:r>
              <w:rPr>
                <w:rFonts w:hint="eastAsia" w:ascii="HG丸ｺﾞｼｯｸM-PRO" w:hAnsi="HG丸ｺﾞｼｯｸM-PRO" w:eastAsia="HG丸ｺﾞｼｯｸM-PRO"/>
                <w:sz w:val="22"/>
              </w:rPr>
              <w:t>,400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27,100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30,000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1,700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4,600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6.69</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18.11</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1,300,000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２割軽減世帯</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172,800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187,200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208,000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14,400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35,200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8.33</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20.37</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２人世帯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2,000,000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265,200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286,300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316,700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21,100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51,500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7.96</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19.42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３人世帯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3,000,000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385,900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415,600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458,400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29,700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72,500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7.70</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18.79</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292"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3,900,000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軽減なし</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643,700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685,000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753,100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41,300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109,400</w:t>
            </w:r>
            <w:r>
              <w:rPr>
                <w:rFonts w:hint="eastAsia" w:ascii="HG丸ｺﾞｼｯｸM-PRO" w:hAnsi="HG丸ｺﾞｼｯｸM-PRO" w:eastAsia="HG丸ｺﾞｼｯｸM-PRO"/>
                <w:sz w:val="22"/>
              </w:rPr>
              <w:t>円</w:t>
            </w:r>
            <w:r>
              <w:rPr>
                <w:rFonts w:hint="eastAsia" w:ascii="HG丸ｺﾞｼｯｸM-PRO" w:hAnsi="HG丸ｺﾞｼｯｸM-PRO" w:eastAsia="HG丸ｺﾞｼｯｸM-PRO"/>
                <w:sz w:val="22"/>
              </w:rPr>
              <w:t>)</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6.42</w:t>
            </w:r>
            <w:r>
              <w:rPr>
                <w:rFonts w:hint="eastAsia" w:ascii="HG丸ｺﾞｼｯｸM-PRO" w:hAnsi="HG丸ｺﾞｼｯｸM-PRO" w:eastAsia="HG丸ｺﾞｼｯｸM-PRO"/>
                <w:sz w:val="22"/>
              </w:rPr>
              <w:t>％</w:t>
            </w:r>
          </w:p>
          <w:p>
            <w:pPr>
              <w:pStyle w:val="0"/>
              <w:jc w:val="center"/>
              <w:rPr>
                <w:rFonts w:hint="default" w:ascii="HG丸ｺﾞｼｯｸM-PRO" w:hAnsi="HG丸ｺﾞｼｯｸM-PRO" w:eastAsia="HG丸ｺﾞｼｯｸM-PRO"/>
                <w:sz w:val="22"/>
              </w:rPr>
            </w:pPr>
          </w:p>
          <w:p>
            <w:pPr>
              <w:pStyle w:val="0"/>
              <w:jc w:val="center"/>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w:t>
            </w:r>
            <w:r>
              <w:rPr>
                <w:rFonts w:hint="eastAsia" w:ascii="HG丸ｺﾞｼｯｸM-PRO" w:hAnsi="HG丸ｺﾞｼｯｸM-PRO" w:eastAsia="HG丸ｺﾞｼｯｸM-PRO"/>
                <w:sz w:val="22"/>
              </w:rPr>
              <w:t>17.00</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w:t>
            </w:r>
          </w:p>
        </w:tc>
      </w:tr>
      <w:tr>
        <w:trPr>
          <w:trHeight w:val="1356" w:hRule="atLeast"/>
        </w:trPr>
        <w:tc>
          <w:tcPr>
            <w:tcW w:w="2899"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４人世帯</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所得　</w:t>
            </w:r>
            <w:r>
              <w:rPr>
                <w:rFonts w:hint="eastAsia" w:ascii="HG丸ｺﾞｼｯｸM-PRO" w:hAnsi="HG丸ｺﾞｼｯｸM-PRO" w:eastAsia="HG丸ｺﾞｼｯｸM-PRO"/>
                <w:sz w:val="22"/>
              </w:rPr>
              <w:t>10,000,000</w:t>
            </w:r>
            <w:r>
              <w:rPr>
                <w:rFonts w:hint="eastAsia" w:ascii="HG丸ｺﾞｼｯｸM-PRO" w:hAnsi="HG丸ｺﾞｼｯｸM-PRO" w:eastAsia="HG丸ｺﾞｼｯｸM-PRO"/>
                <w:sz w:val="22"/>
              </w:rPr>
              <w:t>円</w:t>
            </w:r>
          </w:p>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限度額超過世帯</w:t>
            </w:r>
          </w:p>
        </w:tc>
        <w:tc>
          <w:tcPr>
            <w:tcW w:w="1931"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1,090,000</w:t>
            </w:r>
            <w:r>
              <w:rPr>
                <w:rFonts w:hint="eastAsia" w:ascii="HG丸ｺﾞｼｯｸM-PRO" w:hAnsi="HG丸ｺﾞｼｯｸM-PRO" w:eastAsia="HG丸ｺﾞｼｯｸM-PRO"/>
                <w:sz w:val="22"/>
              </w:rPr>
              <w:t>円</w:t>
            </w:r>
          </w:p>
        </w:tc>
        <w:tc>
          <w:tcPr>
            <w:tcW w:w="1877"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1,130,000</w:t>
            </w:r>
            <w:r>
              <w:rPr>
                <w:rFonts w:hint="eastAsia" w:ascii="HG丸ｺﾞｼｯｸM-PRO" w:hAnsi="HG丸ｺﾞｼｯｸM-PRO" w:eastAsia="HG丸ｺﾞｼｯｸM-PRO"/>
                <w:sz w:val="22"/>
              </w:rPr>
              <w:t>円</w:t>
            </w:r>
          </w:p>
        </w:tc>
        <w:tc>
          <w:tcPr>
            <w:tcW w:w="1792"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40,000</w:t>
            </w:r>
            <w:r>
              <w:rPr>
                <w:rFonts w:hint="eastAsia" w:ascii="HG丸ｺﾞｼｯｸM-PRO" w:hAnsi="HG丸ｺﾞｼｯｸM-PRO" w:eastAsia="HG丸ｺﾞｼｯｸM-PRO"/>
                <w:sz w:val="22"/>
              </w:rPr>
              <w:t>円</w:t>
            </w:r>
          </w:p>
        </w:tc>
        <w:tc>
          <w:tcPr>
            <w:tcW w:w="1680" w:type="dxa"/>
            <w:vAlign w:val="center"/>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3.67</w:t>
            </w:r>
            <w:r>
              <w:rPr>
                <w:rFonts w:hint="eastAsia" w:ascii="HG丸ｺﾞｼｯｸM-PRO" w:hAnsi="HG丸ｺﾞｼｯｸM-PRO" w:eastAsia="HG丸ｺﾞｼｯｸM-PRO"/>
                <w:sz w:val="22"/>
              </w:rPr>
              <w:t>％</w:t>
            </w:r>
          </w:p>
        </w:tc>
      </w:tr>
    </w:tbl>
    <w:p>
      <w:pPr>
        <w:pStyle w:val="0"/>
        <w:rPr>
          <w:rFonts w:hint="default"/>
          <w:sz w:val="22"/>
        </w:rPr>
      </w:pPr>
      <w:r>
        <w:rPr>
          <w:rFonts w:hint="eastAsia"/>
          <w:sz w:val="22"/>
        </w:rPr>
        <w:t>※表の中の上段は左ページの「</w:t>
      </w:r>
      <w:r>
        <w:rPr>
          <w:rFonts w:hint="eastAsia"/>
          <w:sz w:val="22"/>
        </w:rPr>
        <w:t>R8</w:t>
      </w:r>
      <w:r>
        <w:rPr>
          <w:rFonts w:hint="eastAsia"/>
          <w:sz w:val="22"/>
        </w:rPr>
        <w:t>年度保険税率」</w:t>
      </w:r>
      <w:bookmarkStart w:id="0" w:name="_GoBack"/>
      <w:bookmarkEnd w:id="0"/>
      <w:r>
        <w:rPr>
          <w:rFonts w:hint="eastAsia"/>
          <w:sz w:val="22"/>
        </w:rPr>
        <w:t>で試算した場合、</w:t>
      </w:r>
    </w:p>
    <w:p>
      <w:pPr>
        <w:pStyle w:val="0"/>
        <w:rPr>
          <w:rFonts w:hint="default"/>
        </w:rPr>
      </w:pPr>
      <w:r>
        <w:rPr>
          <w:rFonts w:hint="eastAsia"/>
          <w:sz w:val="22"/>
        </w:rPr>
        <w:t>　下段の（　）内は県の示す「</w:t>
      </w:r>
      <w:r>
        <w:rPr>
          <w:rFonts w:hint="eastAsia"/>
          <w:sz w:val="22"/>
        </w:rPr>
        <w:t>R8</w:t>
      </w:r>
      <w:r>
        <w:rPr>
          <w:rFonts w:hint="eastAsia"/>
          <w:sz w:val="22"/>
        </w:rPr>
        <w:t>年度標準保険税率（本算定）」で試算した結果です。</w:t>
      </w:r>
    </w:p>
    <w:sectPr>
      <w:headerReference r:id="rId5" w:type="default"/>
      <w:pgSz w:w="23811" w:h="16838" w:orient="landscape"/>
      <w:pgMar w:top="851" w:right="1361" w:bottom="567" w:left="1361" w:header="794" w:footer="992" w:gutter="0"/>
      <w:cols w:space="720" w:num="2"/>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wordWrap w:val="0"/>
      <w:jc w:val="right"/>
      <w:rPr>
        <w:rFonts w:hint="default" w:asciiTheme="majorEastAsia" w:hAnsiTheme="majorEastAsia" w:eastAsiaTheme="majorEastAsia"/>
        <w:color w:val="808080" w:themeColor="text1" w:themeTint="80"/>
        <w:sz w:val="28"/>
      </w:rPr>
    </w:pPr>
    <w:r>
      <w:rPr>
        <w:rFonts w:hint="eastAsia"/>
        <w:sz w:val="32"/>
        <w:bdr w:val="single" w:color="auto" w:sz="4" w:space="0"/>
      </w:rPr>
      <w:t>　</w:t>
    </w:r>
    <w:r>
      <w:rPr>
        <w:rFonts w:hint="eastAsia" w:asciiTheme="majorEastAsia" w:hAnsiTheme="majorEastAsia" w:eastAsiaTheme="majorEastAsia"/>
        <w:sz w:val="28"/>
        <w:bdr w:val="single" w:color="auto" w:sz="4" w:space="0"/>
      </w:rPr>
      <w:t>資料３　</w:t>
    </w:r>
  </w:p>
  <w:p>
    <w:pPr>
      <w:pStyle w:val="19"/>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100</Words>
  <Characters>1043</Characters>
  <Application>JUST Note</Application>
  <Lines>215</Lines>
  <Paragraphs>89</Paragraphs>
  <Company>尾張旭市役所</Company>
  <CharactersWithSpaces>1111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森下亜希子</dc:creator>
  <cp:lastModifiedBy>小川真貴子</cp:lastModifiedBy>
  <cp:lastPrinted>2026-01-21T09:33:26Z</cp:lastPrinted>
  <dcterms:created xsi:type="dcterms:W3CDTF">2025-01-17T08:12:00Z</dcterms:created>
  <dcterms:modified xsi:type="dcterms:W3CDTF">2026-01-21T08:16:00Z</dcterms:modified>
  <cp:revision>9</cp:revision>
</cp:coreProperties>
</file>