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 Id="rId4" Type="http://schemas.openxmlformats.org/officeDocument/2006/relationships/custom-properties" Target="docProps/custom.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contextualSpacing w:val="1"/>
        <w:rPr>
          <w:rFonts w:hint="default" w:asciiTheme="minorEastAsia" w:hAnsiTheme="minorEastAsia"/>
          <w:color w:val="000000" w:themeColor="text1"/>
          <w:kern w:val="24"/>
        </w:rPr>
      </w:pPr>
    </w:p>
    <w:p>
      <w:pPr>
        <w:pStyle w:val="0"/>
        <w:contextualSpacing w:val="1"/>
        <w:rPr>
          <w:rFonts w:hint="default" w:asciiTheme="minorEastAsia" w:hAnsiTheme="minorEastAsia"/>
          <w:color w:val="000000" w:themeColor="text1"/>
          <w:kern w:val="24"/>
        </w:rPr>
      </w:pPr>
      <w:r>
        <w:rPr>
          <w:rFonts w:hint="eastAsia" w:asciiTheme="minorEastAsia" w:hAnsiTheme="minorEastAsia"/>
          <w:color w:val="auto"/>
          <w:kern w:val="24"/>
        </w:rPr>
        <w:t>愛知県尾張旭市長　</w:t>
      </w:r>
      <w:r>
        <w:rPr>
          <w:rFonts w:hint="eastAsia" w:asciiTheme="minorEastAsia" w:hAnsiTheme="minorEastAsia"/>
          <w:color w:val="000000" w:themeColor="text1"/>
          <w:kern w:val="24"/>
        </w:rPr>
        <w:t>殿</w:t>
      </w:r>
    </w:p>
    <w:p>
      <w:pPr>
        <w:pStyle w:val="0"/>
        <w:wordWrap w:val="0"/>
        <w:ind w:left="288"/>
        <w:contextualSpacing w:val="1"/>
        <w:jc w:val="right"/>
        <w:rPr>
          <w:rFonts w:hint="default" w:asciiTheme="minorEastAsia" w:hAnsiTheme="minorEastAsia"/>
          <w:color w:val="000000" w:themeColor="text1"/>
          <w:kern w:val="24"/>
        </w:rPr>
      </w:pPr>
      <w:r>
        <w:rPr>
          <w:rFonts w:hint="eastAsia" w:asciiTheme="minorEastAsia" w:hAnsiTheme="minorEastAsia"/>
          <w:color w:val="000000" w:themeColor="text1"/>
          <w:kern w:val="24"/>
          <w:u w:val="single" w:color="auto"/>
        </w:rPr>
        <w:t>事業者名　</w:t>
      </w:r>
      <w:r>
        <w:rPr>
          <w:rFonts w:hint="eastAsia" w:asciiTheme="minorEastAsia" w:hAnsiTheme="minorEastAsia"/>
          <w:color w:val="000000" w:themeColor="text1"/>
          <w:kern w:val="24"/>
          <w:u w:val="single" w:color="auto"/>
        </w:rPr>
        <w:t xml:space="preserve">                    </w:t>
      </w:r>
    </w:p>
    <w:p>
      <w:pPr>
        <w:pStyle w:val="0"/>
        <w:ind w:left="288"/>
        <w:contextualSpacing w:val="1"/>
        <w:jc w:val="right"/>
        <w:rPr>
          <w:rFonts w:hint="default" w:asciiTheme="minorEastAsia" w:hAnsiTheme="minorEastAsia"/>
          <w:color w:val="000000" w:themeColor="text1"/>
          <w:kern w:val="24"/>
        </w:rPr>
      </w:pPr>
    </w:p>
    <w:p>
      <w:pPr>
        <w:pStyle w:val="0"/>
        <w:ind w:left="0" w:leftChars="0" w:firstLine="3480" w:firstLineChars="145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については、</w:t>
      </w:r>
      <w:r>
        <w:rPr>
          <w:rFonts w:hint="eastAsia" w:asciiTheme="minorEastAsia" w:hAnsiTheme="minorEastAsia"/>
          <w:color w:val="auto"/>
          <w:kern w:val="24"/>
        </w:rPr>
        <w:t>尾張旭市</w:t>
      </w:r>
      <w:r>
        <w:rPr>
          <w:rFonts w:hint="eastAsia" w:asciiTheme="minorEastAsia" w:hAnsiTheme="minorEastAsia"/>
          <w:color w:val="000000" w:themeColor="text1"/>
          <w:kern w:val="24"/>
        </w:rPr>
        <w:t>の区域内における工程により、当該返礼品等の価値の</w:t>
      </w:r>
      <w:r>
        <w:rPr>
          <w:rFonts w:hint="eastAsia" w:asciiTheme="minorEastAsia" w:hAnsiTheme="minorEastAsia"/>
          <w:color w:val="auto"/>
          <w:kern w:val="24"/>
          <w:u w:val="none" w:color="auto"/>
        </w:rPr>
        <w:t>　　％</w:t>
      </w:r>
      <w:r>
        <w:rPr>
          <w:rFonts w:hint="eastAsia" w:asciiTheme="minorEastAsia" w:hAnsiTheme="minorEastAsia"/>
          <w:color w:val="auto"/>
          <w:kern w:val="24"/>
        </w:rPr>
        <w:t>が</w:t>
      </w:r>
      <w:r>
        <w:rPr>
          <w:rFonts w:hint="eastAsia" w:asciiTheme="minorEastAsia" w:hAnsiTheme="minorEastAsia"/>
          <w:color w:val="000000" w:themeColor="text1"/>
          <w:kern w:val="24"/>
        </w:rPr>
        <w:t>生じていることを証明します。</w:t>
      </w:r>
    </w:p>
    <w:p>
      <w:pPr>
        <w:pStyle w:val="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上記については、以下の算出方法（該当する算出方法に☑）により算出しています。</w:t>
      </w:r>
    </w:p>
    <w:p>
      <w:pPr>
        <w:pStyle w:val="0"/>
        <w:spacing w:before="240" w:beforeLines="0" w:beforeAutospacing="0"/>
        <w:ind w:left="418" w:firstLine="158"/>
        <w:contextualSpacing w:val="1"/>
        <w:rPr>
          <w:rFonts w:hint="default" w:asciiTheme="minorEastAsia" w:hAnsiTheme="minorEastAsia"/>
          <w:color w:val="000000" w:themeColor="text1"/>
          <w:kern w:val="24"/>
        </w:rPr>
      </w:pPr>
    </w:p>
    <w:p>
      <w:pPr>
        <w:pStyle w:val="0"/>
        <w:ind w:left="480" w:left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総務大臣が定める標準的な算出方法</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※標準的な算出方法における算出基礎は以下のとおり。</w:t>
      </w:r>
    </w:p>
    <w:p>
      <w:pPr>
        <w:pStyle w:val="0"/>
        <w:ind w:left="1200" w:leftChars="5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Ａ：当該地方団体による返礼品等の調達費用　　　　　　</w:t>
      </w:r>
      <w:r>
        <w:rPr>
          <w:rFonts w:hint="eastAsia" w:asciiTheme="minorEastAsia" w:hAnsiTheme="minorEastAsia"/>
          <w:color w:val="000000" w:themeColor="text1"/>
          <w:kern w:val="24"/>
          <w:u w:val="single" w:color="auto"/>
        </w:rPr>
        <w:t>　　　　　　円</w:t>
      </w:r>
    </w:p>
    <w:p>
      <w:pPr>
        <w:pStyle w:val="0"/>
        <w:ind w:left="1680" w:leftChars="5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Ｂ：当該返礼品等の製造・販売等の</w:t>
      </w:r>
      <w:bookmarkStart w:id="0" w:name="_GoBack"/>
      <w:bookmarkEnd w:id="0"/>
      <w:r>
        <w:rPr>
          <w:rFonts w:hint="eastAsia" w:asciiTheme="minorEastAsia" w:hAnsiTheme="minorEastAsia"/>
          <w:color w:val="000000" w:themeColor="text1"/>
          <w:kern w:val="24"/>
        </w:rPr>
        <w:t>ために当該地方団体の区域外で生じた費用　　　　　　　　　　　　　　　　　　　　　　</w:t>
      </w:r>
      <w:r>
        <w:rPr>
          <w:rFonts w:hint="eastAsia" w:asciiTheme="minorEastAsia" w:hAnsiTheme="minorEastAsia"/>
          <w:color w:val="000000" w:themeColor="text1"/>
          <w:kern w:val="24"/>
          <w:u w:val="single" w:color="auto"/>
        </w:rPr>
        <w:t>　　　　　　円</w:t>
      </w:r>
    </w:p>
    <w:p>
      <w:pPr>
        <w:pStyle w:val="0"/>
        <w:ind w:firstLine="576"/>
        <w:contextualSpacing w:val="1"/>
        <w:rPr>
          <w:rFonts w:hint="default" w:asciiTheme="minorEastAsia" w:hAnsiTheme="minorEastAsia"/>
          <w:color w:val="000000" w:themeColor="text1"/>
          <w:kern w:val="24"/>
        </w:rPr>
      </w:pPr>
    </w:p>
    <w:p>
      <w:pPr>
        <w:pStyle w:val="0"/>
        <w:ind w:left="480" w:left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その他の算出方法</w:t>
      </w:r>
    </w:p>
    <w:p>
      <w:pPr>
        <w:pStyle w:val="0"/>
        <w:ind w:left="960" w:leftChars="4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※その他の算出方法とする理由及びその算出方法の詳細は以下のとおり。</w:t>
      </w:r>
    </w:p>
    <w:tbl>
      <w:tblPr>
        <w:tblStyle w:val="38"/>
        <w:tblW w:w="7978" w:type="dxa"/>
        <w:tblInd w:w="1200" w:type="dxa"/>
        <w:tblLayout w:type="fixed"/>
        <w:tblLook w:firstRow="1" w:lastRow="0" w:firstColumn="1" w:lastColumn="0" w:noHBand="0" w:noVBand="1" w:val="04A0"/>
      </w:tblPr>
      <w:tblGrid>
        <w:gridCol w:w="7978"/>
      </w:tblGrid>
      <w:tr>
        <w:trPr/>
        <w:tc>
          <w:tcPr>
            <w:tcW w:w="9178" w:type="dxa"/>
            <w:vAlign w:val="top"/>
          </w:tcPr>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contextualSpacing w:val="1"/>
              <w:rPr>
                <w:rFonts w:hint="default" w:asciiTheme="minorEastAsia" w:hAnsiTheme="minorEastAsia"/>
                <w:color w:val="000000" w:themeColor="text1"/>
                <w:kern w:val="24"/>
              </w:rPr>
            </w:pPr>
          </w:p>
        </w:tc>
      </w:tr>
    </w:tbl>
    <w:p>
      <w:pPr>
        <w:pStyle w:val="0"/>
        <w:contextualSpacing w:val="1"/>
        <w:rPr>
          <w:rFonts w:hint="default" w:asciiTheme="minorEastAsia" w:hAnsiTheme="minorEastAsia"/>
          <w:color w:val="000000" w:themeColor="text1"/>
          <w:kern w:val="24"/>
        </w:rPr>
      </w:pPr>
    </w:p>
    <w:p>
      <w:pPr>
        <w:pStyle w:val="0"/>
        <w:spacing w:before="240" w:beforeLines="0" w:beforeAutospacing="0"/>
        <w:ind w:left="1440" w:leftChars="100" w:hanging="1200" w:hangingChars="5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また、当該返礼品等の製造・加工地</w:t>
      </w:r>
      <w:r>
        <w:rPr>
          <w:rFonts w:hint="eastAsia" w:asciiTheme="minorEastAsia" w:hAnsiTheme="minorEastAsia"/>
          <w:color w:val="000000" w:themeColor="text1"/>
          <w:kern w:val="24"/>
          <w:position w:val="10"/>
          <w:vertAlign w:val="superscript"/>
        </w:rPr>
        <w:t>※</w:t>
      </w:r>
      <w:r>
        <w:rPr>
          <w:rFonts w:hint="eastAsia" w:asciiTheme="minorEastAsia" w:hAnsiTheme="minorEastAsia"/>
          <w:color w:val="auto"/>
          <w:kern w:val="24"/>
          <w:position w:val="10"/>
          <w:vertAlign w:val="superscript"/>
        </w:rPr>
        <w:t>１</w:t>
      </w:r>
      <w:r>
        <w:rPr>
          <w:rFonts w:hint="eastAsia" w:asciiTheme="minorEastAsia" w:hAnsiTheme="minorEastAsia"/>
          <w:color w:val="auto"/>
          <w:kern w:val="24"/>
        </w:rPr>
        <w:t>は愛知県尾張旭市</w:t>
      </w:r>
      <w:r>
        <w:rPr>
          <w:rFonts w:hint="eastAsia" w:asciiTheme="minorEastAsia" w:hAnsiTheme="minorEastAsia"/>
          <w:color w:val="000000" w:themeColor="text1"/>
          <w:kern w:val="24"/>
        </w:rPr>
        <w:t>であり、一般販売価格は　　</w:t>
      </w:r>
      <w:r>
        <w:rPr>
          <w:rFonts w:hint="eastAsia" w:asciiTheme="minorEastAsia" w:hAnsiTheme="minorEastAsia"/>
          <w:color w:val="auto"/>
          <w:kern w:val="24"/>
          <w:u w:val="none" w:color="auto"/>
        </w:rPr>
        <w:t>円</w:t>
      </w:r>
      <w:r>
        <w:rPr>
          <w:rFonts w:hint="eastAsia" w:asciiTheme="minorEastAsia" w:hAnsiTheme="minorEastAsia"/>
          <w:color w:val="000000" w:themeColor="text1"/>
          <w:kern w:val="24"/>
        </w:rPr>
        <w:t>です</w:t>
      </w:r>
      <w:r>
        <w:rPr>
          <w:rFonts w:hint="eastAsia" w:asciiTheme="minorEastAsia" w:hAnsiTheme="minorEastAsia"/>
          <w:color w:val="000000" w:themeColor="text1"/>
          <w:kern w:val="24"/>
          <w:position w:val="10"/>
          <w:vertAlign w:val="superscript"/>
        </w:rPr>
        <w:t>※２</w:t>
      </w:r>
      <w:r>
        <w:rPr>
          <w:rFonts w:hint="eastAsia" w:asciiTheme="minorEastAsia" w:hAnsiTheme="minorEastAsia"/>
          <w:color w:val="000000" w:themeColor="text1"/>
          <w:kern w:val="24"/>
        </w:rPr>
        <w:t>。</w:t>
      </w:r>
    </w:p>
    <w:p>
      <w:pPr>
        <w:pStyle w:val="0"/>
        <w:spacing w:before="240" w:beforeLines="0" w:beforeAutospacing="0"/>
        <w:contextualSpacing w:val="1"/>
        <w:rPr>
          <w:rFonts w:hint="default" w:asciiTheme="minorEastAsia" w:hAnsiTheme="minorEastAsia"/>
          <w:color w:val="000000" w:themeColor="text1"/>
          <w:kern w:val="24"/>
        </w:rPr>
      </w:pPr>
    </w:p>
    <w:p>
      <w:pPr>
        <w:pStyle w:val="0"/>
        <w:spacing w:before="240" w:beforeLines="0" w:beforeAutospacing="0"/>
        <w:ind w:firstLine="240" w:firstLine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なお、当該返礼品等を取り扱うに当たって、下記の事項に同意します。</w:t>
      </w:r>
    </w:p>
    <w:p>
      <w:pPr>
        <w:pStyle w:val="0"/>
        <w:spacing w:before="240" w:beforeLines="0" w:beforeAutospacing="0"/>
        <w:ind w:left="480" w:leftChars="100" w:hanging="240" w:hangingChars="10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当該返礼品等については、以下に掲げる場合を除き、他の地方団体の地場産品基準（平成</w:t>
      </w:r>
      <w:r>
        <w:rPr>
          <w:rFonts w:hint="eastAsia" w:asciiTheme="minorEastAsia" w:hAnsiTheme="minorEastAsia"/>
          <w:color w:val="000000" w:themeColor="text1"/>
          <w:kern w:val="24"/>
        </w:rPr>
        <w:t>31</w:t>
      </w:r>
      <w:r>
        <w:rPr>
          <w:rFonts w:hint="eastAsia" w:asciiTheme="minorEastAsia" w:hAnsiTheme="minorEastAsia"/>
          <w:color w:val="000000" w:themeColor="text1"/>
          <w:kern w:val="24"/>
        </w:rPr>
        <w:t>年総務省告示第</w:t>
      </w:r>
      <w:r>
        <w:rPr>
          <w:rFonts w:hint="eastAsia" w:asciiTheme="minorEastAsia" w:hAnsiTheme="minorEastAsia"/>
          <w:color w:val="000000" w:themeColor="text1"/>
          <w:kern w:val="24"/>
        </w:rPr>
        <w:t>179</w:t>
      </w:r>
      <w:r>
        <w:rPr>
          <w:rFonts w:hint="eastAsia" w:asciiTheme="minorEastAsia" w:hAnsiTheme="minorEastAsia"/>
          <w:color w:val="000000" w:themeColor="text1"/>
          <w:kern w:val="24"/>
        </w:rPr>
        <w:t>号第６条をいう。以下同じ。）第３号の返礼品等として取り扱わないこと。</w:t>
      </w:r>
    </w:p>
    <w:p>
      <w:pPr>
        <w:pStyle w:val="16"/>
        <w:numPr>
          <w:ilvl w:val="0"/>
          <w:numId w:val="1"/>
        </w:numPr>
        <w:spacing w:before="240" w:beforeLines="0" w:beforeAutospacing="0"/>
        <w:ind w:leftChars="0"/>
        <w:contextualSpacing w:val="1"/>
        <w:jc w:val="left"/>
        <w:rPr>
          <w:rFonts w:hint="default" w:asciiTheme="minorEastAsia" w:hAnsiTheme="minorEastAsia"/>
          <w:color w:val="000000" w:themeColor="text1"/>
          <w:kern w:val="24"/>
        </w:rPr>
      </w:pPr>
      <w:r>
        <w:rPr>
          <w:rFonts w:hint="eastAsia" w:asciiTheme="minorEastAsia" w:hAnsiTheme="minorEastAsia"/>
          <w:color w:val="000000" w:themeColor="text1"/>
          <w:kern w:val="24"/>
        </w:rPr>
        <w:t>　貴市区町村の属する都道府県（貴団体が都道府県である場合には貴都道府県内の市区町村）が地場産品基準第３号に適合するものとして当該返礼品等を取り扱う場合</w:t>
      </w:r>
    </w:p>
    <w:p>
      <w:pPr>
        <w:pStyle w:val="16"/>
        <w:numPr>
          <w:ilvl w:val="0"/>
          <w:numId w:val="1"/>
        </w:numPr>
        <w:ind w:leftChars="0"/>
        <w:rPr>
          <w:rFonts w:hint="default"/>
        </w:rPr>
      </w:pPr>
      <w:r>
        <w:rPr>
          <w:rFonts w:hint="eastAsia"/>
        </w:rPr>
        <w:t>　地場産品基準第８号イ又はロの返礼品等（同基準第３号に適合する場合に限る。）として他の地方団体が取り扱う場合</w:t>
      </w:r>
    </w:p>
    <w:p>
      <w:pPr>
        <w:pStyle w:val="0"/>
        <w:spacing w:before="240" w:beforeLines="0" w:beforeAutospacing="0"/>
        <w:ind w:left="480" w:leftChars="100" w:hanging="240" w:hangingChars="1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　当該返礼品等の付加価値の算出方法等について、地方団体の求めに応じ、必要な説明や資料提供等を行うこと。</w:t>
      </w:r>
    </w:p>
    <w:p>
      <w:pPr>
        <w:pStyle w:val="0"/>
        <w:spacing w:before="240" w:beforeLines="0" w:beforeAutospacing="0"/>
        <w:ind w:left="418" w:firstLine="158"/>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mc:AlternateContent>
          <mc:Choice Requires="wps">
            <w:drawing>
              <wp:anchor distT="0" distB="0" distL="114300" distR="114300" simplePos="0" relativeHeight="2" behindDoc="0" locked="0" layoutInCell="1" hidden="0" allowOverlap="1">
                <wp:simplePos x="0" y="0"/>
                <wp:positionH relativeFrom="column">
                  <wp:posOffset>40640</wp:posOffset>
                </wp:positionH>
                <wp:positionV relativeFrom="paragraph">
                  <wp:posOffset>135255</wp:posOffset>
                </wp:positionV>
                <wp:extent cx="6028055" cy="1381125"/>
                <wp:effectExtent l="635" t="635" r="29845" b="10795"/>
                <wp:wrapNone/>
                <wp:docPr id="1026" name="大かっこ 1"/>
                <a:graphic xmlns:a="http://schemas.openxmlformats.org/drawingml/2006/main">
                  <a:graphicData uri="http://schemas.microsoft.com/office/word/2010/wordprocessingShape">
                    <wps:wsp>
                      <wps:cNvPr id="1026" name="大かっこ 1"/>
                      <wps:cNvSpPr/>
                      <wps:spPr>
                        <a:xfrm>
                          <a:off x="0" y="0"/>
                          <a:ext cx="6028055" cy="1381125"/>
                        </a:xfrm>
                        <a:prstGeom prst="bracketPair">
                          <a:avLst>
                            <a:gd name="adj" fmla="val 7760"/>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1" style="mso-position-vertical-relative:text;z-index:2;mso-wrap-distance-left:9pt;width:474.65pt;height:108.75pt;mso-position-horizontal-relative:text;position:absolute;margin-left:3.2pt;margin-top:10.65pt;mso-wrap-distance-bottom:0pt;mso-wrap-distance-right:9pt;mso-wrap-distance-top:0pt;" o:spid="_x0000_s1026" o:allowincell="t" o:allowoverlap="t" filled="f" stroked="t" strokecolor="#000000 [3213]" strokeweight="0.5pt" o:spt="185" type="#_x0000_t185" adj="1676">
                <v:fill/>
                <v:stroke linestyle="single" miterlimit="8" endcap="flat" dashstyle="solid" filltype="solid"/>
                <v:textbox style="layout-flow:horizontal;"/>
                <v:imagedata o:title=""/>
                <w10:wrap type="none" anchorx="text" anchory="text"/>
              </v:shape>
            </w:pict>
          </mc:Fallback>
        </mc:AlternateContent>
      </w:r>
    </w:p>
    <w:p>
      <w:pPr>
        <w:pStyle w:val="0"/>
        <w:spacing w:before="120" w:beforeLines="0" w:beforeAutospacing="0"/>
        <w:ind w:left="240" w:leftChars="100"/>
        <w:contextualSpacing w:val="1"/>
        <w:rPr>
          <w:rFonts w:hint="default" w:asciiTheme="minorEastAsia" w:hAnsiTheme="minorEastAsia"/>
          <w:color w:val="000000" w:themeColor="text1"/>
          <w:kern w:val="24"/>
          <w:u w:val="single" w:color="auto"/>
        </w:rPr>
      </w:pPr>
      <w:r>
        <w:rPr>
          <w:rFonts w:hint="eastAsia" w:asciiTheme="minorEastAsia" w:hAnsiTheme="minorEastAsia"/>
          <w:color w:val="000000" w:themeColor="text1"/>
          <w:kern w:val="24"/>
          <w:u w:val="single" w:color="auto"/>
        </w:rPr>
        <w:t>記載要領</w:t>
      </w:r>
    </w:p>
    <w:p>
      <w:pPr>
        <w:pStyle w:val="0"/>
        <w:spacing w:before="120" w:beforeLines="0" w:beforeAutospacing="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※１　返礼品等の製造・加工が行われた場所について、国内の場合は都道府県名及び市区町村名（例：○○県○○市）、国外の場合は国名を記載すること。</w:t>
      </w:r>
    </w:p>
    <w:p>
      <w:pPr>
        <w:pStyle w:val="0"/>
        <w:ind w:left="720" w:leftChars="100" w:hanging="480" w:hangingChars="200"/>
        <w:contextualSpacing w:val="1"/>
        <w:rPr>
          <w:rFonts w:hint="default" w:asciiTheme="minorEastAsia" w:hAnsiTheme="minorEastAsia"/>
          <w:color w:val="000000" w:themeColor="text1"/>
          <w:kern w:val="24"/>
        </w:rPr>
      </w:pPr>
      <w:r>
        <w:rPr>
          <w:rFonts w:hint="eastAsia" w:asciiTheme="minorEastAsia" w:hAnsiTheme="minorEastAsia"/>
          <w:color w:val="000000" w:themeColor="text1"/>
          <w:kern w:val="24"/>
        </w:rPr>
        <w:t>※２　当該返礼品等を一般消費者に対して販売する際の通常の価格を記載すること。なお、当該返礼品等が非売品である場合には、当該返礼品等の類似製品に係る通常の価格を記載すること。</w:t>
      </w:r>
    </w:p>
    <w:sectPr>
      <w:pgSz w:w="11910" w:h="16840"/>
      <w:pgMar w:top="1276" w:right="1361" w:bottom="709" w:left="1361" w:header="720" w:footer="720" w:gutter="0"/>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Ｐゴシック">
    <w:panose1 w:val="00000000000000000000"/>
    <w:charset w:val="80"/>
    <w:family w:val="modern"/>
    <w:notTrueType/>
    <w:pitch w:val="variable"/>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hybridMultilevel"/>
    <w:tmpl w:val="59A473B4"/>
    <w:lvl w:ilvl="0" w:tplc="C8E45730">
      <w:start w:val="1"/>
      <w:numFmt w:val="decimalEnclosedCircle"/>
      <w:lvlText w:val="%1"/>
      <w:lvlJc w:val="left"/>
      <w:pPr>
        <w:ind w:left="840" w:hanging="360"/>
      </w:pPr>
      <w:rPr>
        <w:rFonts w:hint="default"/>
      </w:rPr>
    </w:lvl>
    <w:lvl w:ilvl="1" w:tplc="04090017">
      <w:start w:val="1"/>
      <w:numFmt w:val="aiueoFullWidth"/>
      <w:lvlText w:val="(%2)"/>
      <w:lvlJc w:val="left"/>
      <w:pPr>
        <w:ind w:left="1360" w:hanging="440"/>
      </w:pPr>
    </w:lvl>
    <w:lvl w:ilvl="2" w:tplc="04090011">
      <w:start w:val="1"/>
      <w:numFmt w:val="decimalEnclosedCircle"/>
      <w:lvlText w:val="%3"/>
      <w:lvlJc w:val="left"/>
      <w:pPr>
        <w:ind w:left="1800" w:hanging="440"/>
      </w:pPr>
    </w:lvl>
    <w:lvl w:ilvl="3" w:tplc="0409000F">
      <w:start w:val="1"/>
      <w:numFmt w:val="decimal"/>
      <w:lvlText w:val="%4."/>
      <w:lvlJc w:val="left"/>
      <w:pPr>
        <w:ind w:left="2240" w:hanging="440"/>
      </w:pPr>
    </w:lvl>
    <w:lvl w:ilvl="4" w:tplc="04090017">
      <w:start w:val="1"/>
      <w:numFmt w:val="aiueoFullWidth"/>
      <w:lvlText w:val="(%5)"/>
      <w:lvlJc w:val="left"/>
      <w:pPr>
        <w:ind w:left="2680" w:hanging="440"/>
      </w:pPr>
    </w:lvl>
    <w:lvl w:ilvl="5" w:tplc="04090011">
      <w:start w:val="1"/>
      <w:numFmt w:val="decimalEnclosedCircle"/>
      <w:lvlText w:val="%6"/>
      <w:lvlJc w:val="left"/>
      <w:pPr>
        <w:ind w:left="3120" w:hanging="440"/>
      </w:pPr>
    </w:lvl>
    <w:lvl w:ilvl="6" w:tplc="0409000F">
      <w:start w:val="1"/>
      <w:numFmt w:val="decimal"/>
      <w:lvlText w:val="%7."/>
      <w:lvlJc w:val="left"/>
      <w:pPr>
        <w:ind w:left="3560" w:hanging="440"/>
      </w:pPr>
    </w:lvl>
    <w:lvl w:ilvl="7" w:tplc="04090017">
      <w:start w:val="1"/>
      <w:numFmt w:val="aiueoFullWidth"/>
      <w:lvlText w:val="(%8)"/>
      <w:lvlJc w:val="left"/>
      <w:pPr>
        <w:ind w:left="4000" w:hanging="440"/>
      </w:pPr>
    </w:lvl>
    <w:lvl w:ilvl="8" w:tplc="04090011">
      <w:start w:val="1"/>
      <w:numFmt w:val="decimalEnclosedCircle"/>
      <w:lvlText w:val="%9"/>
      <w:lvlJc w:val="left"/>
      <w:pPr>
        <w:ind w:left="4440" w:hanging="44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90"/>
  <w:bordersDoNotSurroundHeader/>
  <w:bordersDoNotSurroundFooter/>
  <w:defaultTabStop w:val="21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doNotFlipMirrorIndents" w:uri="http://schemas.microsoft.com/office/word" w:val="1"/>
    <w:compatSetting w:name="differentiateMultirowTableHeader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Theme="minorHAnsi" w:hAnsiTheme="minorHAnsi" w:eastAsiaTheme="minorEastAsia"/>
        <w:kern w:val="2"/>
        <w:sz w:val="21"/>
      </w:rPr>
    </w:rPrDefault>
  </w:docDefaults>
  <w:style w:type="paragraph" w:styleId="0" w:default="1">
    <w:name w:val="Normal"/>
    <w:next w:val="0"/>
    <w:link w:val="0"/>
    <w:uiPriority w:val="0"/>
    <w:qFormat/>
    <w:pPr>
      <w:widowControl w:val="0"/>
      <w:jc w:val="both"/>
    </w:pPr>
    <w:rPr>
      <w:sz w:val="24"/>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character" w:styleId="15">
    <w:name w:val="Hyperlink"/>
    <w:basedOn w:val="10"/>
    <w:next w:val="15"/>
    <w:link w:val="0"/>
    <w:uiPriority w:val="0"/>
    <w:rPr>
      <w:color w:val="0563C1" w:themeColor="hyperlink"/>
      <w:u w:val="single" w:color="auto"/>
    </w:rPr>
  </w:style>
  <w:style w:type="paragraph" w:styleId="16">
    <w:name w:val="List Paragraph"/>
    <w:basedOn w:val="0"/>
    <w:next w:val="16"/>
    <w:link w:val="0"/>
    <w:uiPriority w:val="0"/>
    <w:qFormat/>
    <w:pPr>
      <w:ind w:left="840" w:leftChars="400"/>
    </w:pPr>
  </w:style>
  <w:style w:type="paragraph" w:styleId="17">
    <w:name w:val="Balloon Text"/>
    <w:basedOn w:val="0"/>
    <w:next w:val="17"/>
    <w:link w:val="18"/>
    <w:uiPriority w:val="0"/>
    <w:semiHidden/>
    <w:rPr>
      <w:rFonts w:asciiTheme="majorHAnsi" w:hAnsiTheme="majorHAnsi" w:eastAsiaTheme="majorEastAsia"/>
      <w:sz w:val="18"/>
    </w:rPr>
  </w:style>
  <w:style w:type="character" w:styleId="18" w:customStyle="1">
    <w:name w:val="吹き出し (文字)"/>
    <w:basedOn w:val="10"/>
    <w:next w:val="18"/>
    <w:link w:val="17"/>
    <w:uiPriority w:val="0"/>
    <w:rPr>
      <w:rFonts w:asciiTheme="majorHAnsi" w:hAnsiTheme="majorHAnsi" w:eastAsiaTheme="majorEastAsia"/>
      <w:sz w:val="18"/>
    </w:rPr>
  </w:style>
  <w:style w:type="paragraph" w:styleId="19">
    <w:name w:val="header"/>
    <w:basedOn w:val="0"/>
    <w:next w:val="19"/>
    <w:link w:val="20"/>
    <w:uiPriority w:val="0"/>
    <w:pPr>
      <w:tabs>
        <w:tab w:val="center" w:leader="none" w:pos="4252"/>
        <w:tab w:val="right" w:leader="none" w:pos="8504"/>
      </w:tabs>
      <w:snapToGrid w:val="0"/>
    </w:pPr>
  </w:style>
  <w:style w:type="character" w:styleId="20" w:customStyle="1">
    <w:name w:val="ヘッダー (文字)"/>
    <w:basedOn w:val="10"/>
    <w:next w:val="20"/>
    <w:link w:val="19"/>
    <w:uiPriority w:val="0"/>
  </w:style>
  <w:style w:type="paragraph" w:styleId="21">
    <w:name w:val="footer"/>
    <w:basedOn w:val="0"/>
    <w:next w:val="21"/>
    <w:link w:val="22"/>
    <w:uiPriority w:val="0"/>
    <w:pPr>
      <w:tabs>
        <w:tab w:val="center" w:leader="none" w:pos="4252"/>
        <w:tab w:val="right" w:leader="none" w:pos="8504"/>
      </w:tabs>
      <w:snapToGrid w:val="0"/>
    </w:pPr>
  </w:style>
  <w:style w:type="character" w:styleId="22" w:customStyle="1">
    <w:name w:val="フッター (文字)"/>
    <w:basedOn w:val="10"/>
    <w:next w:val="22"/>
    <w:link w:val="21"/>
    <w:uiPriority w:val="0"/>
  </w:style>
  <w:style w:type="paragraph" w:styleId="23">
    <w:name w:val="Revision"/>
    <w:next w:val="23"/>
    <w:link w:val="0"/>
    <w:uiPriority w:val="0"/>
    <w:rPr/>
  </w:style>
  <w:style w:type="paragraph" w:styleId="24">
    <w:name w:val="Date"/>
    <w:basedOn w:val="0"/>
    <w:next w:val="0"/>
    <w:link w:val="25"/>
    <w:uiPriority w:val="0"/>
  </w:style>
  <w:style w:type="character" w:styleId="25" w:customStyle="1">
    <w:name w:val="日付 (文字)"/>
    <w:basedOn w:val="10"/>
    <w:next w:val="25"/>
    <w:link w:val="24"/>
    <w:uiPriority w:val="0"/>
  </w:style>
  <w:style w:type="paragraph" w:styleId="26">
    <w:name w:val="Note Heading"/>
    <w:basedOn w:val="0"/>
    <w:next w:val="0"/>
    <w:link w:val="27"/>
    <w:uiPriority w:val="0"/>
    <w:pPr>
      <w:jc w:val="center"/>
    </w:pPr>
  </w:style>
  <w:style w:type="character" w:styleId="27" w:customStyle="1">
    <w:name w:val="記 (文字)"/>
    <w:basedOn w:val="10"/>
    <w:next w:val="27"/>
    <w:link w:val="26"/>
    <w:uiPriority w:val="0"/>
  </w:style>
  <w:style w:type="character" w:styleId="28">
    <w:name w:val="annotation reference"/>
    <w:basedOn w:val="10"/>
    <w:next w:val="28"/>
    <w:link w:val="0"/>
    <w:uiPriority w:val="0"/>
    <w:semiHidden/>
    <w:rPr>
      <w:sz w:val="18"/>
    </w:rPr>
  </w:style>
  <w:style w:type="paragraph" w:styleId="29">
    <w:name w:val="annotation text"/>
    <w:basedOn w:val="0"/>
    <w:next w:val="29"/>
    <w:link w:val="30"/>
    <w:uiPriority w:val="0"/>
    <w:semiHidden/>
    <w:pPr>
      <w:jc w:val="left"/>
    </w:pPr>
  </w:style>
  <w:style w:type="character" w:styleId="30" w:customStyle="1">
    <w:name w:val="コメント文字列 (文字)"/>
    <w:basedOn w:val="10"/>
    <w:next w:val="30"/>
    <w:link w:val="29"/>
    <w:uiPriority w:val="0"/>
  </w:style>
  <w:style w:type="paragraph" w:styleId="31">
    <w:name w:val="annotation subject"/>
    <w:basedOn w:val="29"/>
    <w:next w:val="29"/>
    <w:link w:val="32"/>
    <w:uiPriority w:val="0"/>
    <w:semiHidden/>
    <w:rPr>
      <w:b w:val="1"/>
    </w:rPr>
  </w:style>
  <w:style w:type="character" w:styleId="32" w:customStyle="1">
    <w:name w:val="コメント内容 (文字)"/>
    <w:basedOn w:val="30"/>
    <w:next w:val="32"/>
    <w:link w:val="31"/>
    <w:uiPriority w:val="0"/>
    <w:rPr>
      <w:b w:val="1"/>
    </w:rPr>
  </w:style>
  <w:style w:type="paragraph" w:styleId="33">
    <w:name w:val="Closing"/>
    <w:basedOn w:val="0"/>
    <w:next w:val="33"/>
    <w:link w:val="34"/>
    <w:uiPriority w:val="0"/>
    <w:pPr>
      <w:jc w:val="right"/>
    </w:pPr>
    <w:rPr>
      <w:rFonts w:asciiTheme="minorEastAsia" w:hAnsiTheme="minorEastAsia"/>
    </w:rPr>
  </w:style>
  <w:style w:type="character" w:styleId="34" w:customStyle="1">
    <w:name w:val="結語 (文字)"/>
    <w:basedOn w:val="10"/>
    <w:next w:val="34"/>
    <w:link w:val="33"/>
    <w:uiPriority w:val="0"/>
    <w:rPr>
      <w:rFonts w:asciiTheme="minorEastAsia" w:hAnsiTheme="minorEastAsia"/>
      <w:sz w:val="24"/>
    </w:rPr>
  </w:style>
  <w:style w:type="paragraph" w:styleId="35">
    <w:name w:val="Normal (Web)"/>
    <w:basedOn w:val="0"/>
    <w:next w:val="35"/>
    <w:link w:val="0"/>
    <w:uiPriority w:val="0"/>
    <w:pPr>
      <w:widowControl w:val="1"/>
      <w:spacing w:before="100" w:beforeLines="0" w:beforeAutospacing="1" w:after="100" w:afterLines="0" w:afterAutospacing="1"/>
      <w:jc w:val="left"/>
    </w:pPr>
    <w:rPr>
      <w:rFonts w:ascii="ＭＳ Ｐゴシック" w:hAnsi="ＭＳ Ｐゴシック" w:eastAsia="ＭＳ Ｐゴシック"/>
      <w:kern w:val="0"/>
    </w:rPr>
  </w:style>
  <w:style w:type="character" w:styleId="36">
    <w:name w:val="footnote reference"/>
    <w:basedOn w:val="10"/>
    <w:next w:val="36"/>
    <w:link w:val="0"/>
    <w:uiPriority w:val="0"/>
    <w:semiHidden/>
    <w:rPr>
      <w:vertAlign w:val="superscript"/>
    </w:rPr>
  </w:style>
  <w:style w:type="character" w:styleId="37">
    <w:name w:val="endnote reference"/>
    <w:basedOn w:val="10"/>
    <w:next w:val="37"/>
    <w:link w:val="0"/>
    <w:uiPriority w:val="0"/>
    <w:semiHidden/>
    <w:rPr>
      <w:vertAlign w:val="superscript"/>
    </w:rPr>
  </w:style>
  <w:style w:type="table" w:styleId="38">
    <w:name w:val="Table Grid"/>
    <w:basedOn w:val="11"/>
    <w:next w:val="38"/>
    <w:link w:val="0"/>
    <w:uiPriority w:val="0"/>
    <w:tblPr>
      <w:tblStyleRowBandSize w:val="1"/>
      <w:tblStyleColBandSize w:val="1"/>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tileRect/>
        </a:gradFill>
        <a:gradFill rotWithShape="1">
          <a:gsLst>
            <a:gs pos="0">
              <a:schemeClr val="phClr">
                <a:satMod val="103000"/>
                <a:lumMod val="102000"/>
                <a:tint val="94000"/>
              </a:schemeClr>
            </a:gs>
            <a:gs pos="50000">
              <a:schemeClr val="phClr">
                <a:satMod val="110000"/>
              </a:schemeClr>
            </a:gs>
            <a:gs pos="100000">
              <a:schemeClr val="phClr">
                <a:lumMod val="99000"/>
                <a:satMod val="120000"/>
                <a:shade val="78000"/>
              </a:schemeClr>
            </a:gs>
          </a:gsLst>
          <a:lin ang="5400000" scaled="0"/>
          <a:tileRect/>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14</TotalTime>
  <Pages>1</Pages>
  <Words>2</Words>
  <Characters>779</Characters>
  <Application>JUST Note</Application>
  <Lines>43</Lines>
  <Paragraphs>20</Paragraphs>
  <CharactersWithSpaces>828</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Administrator</dc:creator>
  <cp:lastModifiedBy>小山彩樹</cp:lastModifiedBy>
  <cp:lastPrinted>2026-06-17T06:16:35Z</cp:lastPrinted>
  <dcterms:created xsi:type="dcterms:W3CDTF">2026-03-30T07:11:00Z</dcterms:created>
  <dcterms:modified xsi:type="dcterms:W3CDTF">2026-08-10T06:57:23Z</dcterms:modified>
  <cp:revision>5</cp:revision>
</cp:coreProperties>
</file>

<file path=docProps/custom.xml><?xml version="1.0" encoding="utf-8"?>
<Properties xmlns:vt="http://schemas.openxmlformats.org/officeDocument/2006/docPropsVTypes" xmlns="http://schemas.openxmlformats.org/officeDocument/2006/custom-properties">
  <property fmtid="{D5CDD505-2E9C-101B-9397-08002B2CF9AE}" pid="2" name="ComplianceAssetId">
    <vt:lpwstr/>
  </property>
  <property fmtid="{D5CDD505-2E9C-101B-9397-08002B2CF9AE}" pid="3" name="ContentTypeId">
    <vt:lpwstr>0x01010077CB45A0F0A3264E8315180F4DD5C739</vt:lpwstr>
  </property>
  <property fmtid="{D5CDD505-2E9C-101B-9397-08002B2CF9AE}" pid="4" name="MediaServiceImageTags">
    <vt:lpwstr/>
  </property>
  <property fmtid="{D5CDD505-2E9C-101B-9397-08002B2CF9AE}" pid="5" name="Order">
    <vt:r8>72400</vt:r8>
  </property>
  <property fmtid="{D5CDD505-2E9C-101B-9397-08002B2CF9AE}" pid="6" name="TemplateUrl">
    <vt:lpwstr/>
  </property>
  <property fmtid="{D5CDD505-2E9C-101B-9397-08002B2CF9AE}" pid="7" name="TriggerFlowInfo">
    <vt:lpwstr/>
  </property>
  <property fmtid="{D5CDD505-2E9C-101B-9397-08002B2CF9AE}" pid="8" name="_ExtendedDescription">
    <vt:lpwstr/>
  </property>
  <property fmtid="{D5CDD505-2E9C-101B-9397-08002B2CF9AE}" pid="9" name="xd_ProgID">
    <vt:lpwstr/>
  </property>
  <property fmtid="{D5CDD505-2E9C-101B-9397-08002B2CF9AE}" pid="10" name="xd_Signature">
    <vt:bool>false</vt:bool>
  </property>
</Properties>
</file>