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420" w:leftChars="200" w:right="0" w:rightChars="0" w:firstLine="240" w:firstLineChars="100"/>
        <w:mirrorIndents w:val="1"/>
        <w:jc w:val="center"/>
        <w:rPr>
          <w:rFonts w:hint="eastAsia" w:ascii="ＭＳ 明朝" w:hAnsi="ＭＳ 明朝" w:eastAsia="ＭＳ 明朝"/>
          <w:color w:val="000000" w:themeColor="text1"/>
          <w:sz w:val="24"/>
        </w:rPr>
      </w:pPr>
      <w:bookmarkStart w:id="0" w:name="_heading=h.gjdgxs"/>
      <w:bookmarkEnd w:id="0"/>
      <w:r>
        <w:rPr>
          <w:rFonts w:hint="eastAsia" w:ascii="ＭＳ 明朝" w:hAnsi="ＭＳ 明朝" w:eastAsia="ＭＳ 明朝"/>
          <w:color w:val="000000" w:themeColor="text1"/>
          <w:sz w:val="24"/>
        </w:rPr>
        <w:t>令和８年度尾張旭市健康診査受診勧奨委託業務</w:t>
      </w:r>
      <w:bookmarkStart w:id="1" w:name="_GoBack"/>
      <w:bookmarkEnd w:id="1"/>
    </w:p>
    <w:p>
      <w:pPr>
        <w:pStyle w:val="0"/>
        <w:ind w:leftChars="0" w:right="0" w:rightChars="0" w:firstLineChars="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１　目的</w:t>
      </w:r>
    </w:p>
    <w:p>
      <w:pPr>
        <w:pStyle w:val="0"/>
        <w:adjustRightInd w:val="0"/>
        <w:ind w:left="227" w:leftChars="0" w:right="0" w:rightChars="0" w:firstLine="240" w:firstLineChars="10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特定健康診査及び後期高齢者医療健康診査（以下「健診」という。）は、被保険者の健康の維持・増進、疾病の重症化予防の起点となるものである。</w:t>
      </w:r>
    </w:p>
    <w:p>
      <w:pPr>
        <w:pStyle w:val="0"/>
        <w:adjustRightInd w:val="0"/>
        <w:ind w:left="227" w:leftChars="0" w:right="0" w:rightChars="0" w:firstLine="240" w:firstLineChars="10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健診を活用して被保険者全体の健康状態を向上させるためには、健診の受診率向上が不可欠であり、第６次総合計画施策１－２「地域医療・福祉医療の推進」においても、健診受診率が指標として設定されている。</w:t>
      </w:r>
    </w:p>
    <w:p>
      <w:pPr>
        <w:pStyle w:val="0"/>
        <w:adjustRightInd w:val="0"/>
        <w:ind w:left="227" w:leftChars="0" w:right="0" w:rightChars="0" w:firstLine="240" w:firstLineChars="10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このため、被保険者の状況を分析するとともに、ソーシャルマーケティング手法や行動心理学等の理論を活用し、効果的に受診率を向上させるため、本業務を実施する。</w:t>
      </w:r>
    </w:p>
    <w:p>
      <w:pPr>
        <w:pStyle w:val="0"/>
        <w:ind w:leftChars="0" w:right="0" w:rightChars="0" w:firstLineChars="0"/>
        <w:mirrorIndents w:val="1"/>
        <w:rPr>
          <w:rFonts w:hint="eastAsia" w:ascii="ＭＳ 明朝" w:hAnsi="ＭＳ 明朝" w:eastAsia="ＭＳ 明朝"/>
          <w:color w:val="000000" w:themeColor="text1"/>
          <w:sz w:val="24"/>
        </w:rPr>
      </w:pPr>
    </w:p>
    <w:p>
      <w:pPr>
        <w:pStyle w:val="0"/>
        <w:ind w:leftChars="0" w:right="0" w:rightChars="0" w:firstLineChars="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２　業務内容</w:t>
      </w:r>
    </w:p>
    <w:p>
      <w:pPr>
        <w:pStyle w:val="0"/>
        <w:ind w:left="227" w:leftChars="0" w:right="0" w:rightChars="0" w:firstLine="0" w:firstLineChars="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⑴　健診の受診率向上のための対象者分析</w:t>
      </w:r>
    </w:p>
    <w:p>
      <w:pPr>
        <w:pStyle w:val="0"/>
        <w:ind w:left="468" w:leftChars="0" w:right="0" w:rightChars="0" w:firstLine="240" w:firstLineChars="10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市が保有する健診データ及びＫＤＢシステム等から出力されるデータを統合し、効率的かつ効果的な受診勧奨を実現するためのデータ分析を行う。</w:t>
      </w:r>
    </w:p>
    <w:p>
      <w:pPr>
        <w:pStyle w:val="0"/>
        <w:ind w:left="468" w:leftChars="0" w:right="0" w:rightChars="0" w:firstLine="240" w:firstLineChars="10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分析に当たっては、公衆衛生、医療経済等の専門領域の知見を活用するものとする。なお、ＫＤＢシステム等から標準で出力できるデータについては市が提供するが、レセプトデータ等の取得に費用を要するものについては、受託者の負担と責任において取得するものとする。</w:t>
      </w:r>
    </w:p>
    <w:p>
      <w:pPr>
        <w:pStyle w:val="0"/>
        <w:ind w:left="227" w:leftChars="0" w:right="0" w:rightChars="0" w:firstLineChars="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⑵　勧奨計画の策定</w:t>
      </w:r>
    </w:p>
    <w:p>
      <w:pPr>
        <w:pStyle w:val="0"/>
        <w:ind w:left="709" w:leftChars="0" w:right="0" w:rightChars="0" w:firstLine="0" w:firstLineChars="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データ分析結果に基づき、次の事項を含む勧奨計画を策定する。</w:t>
      </w:r>
    </w:p>
    <w:p>
      <w:pPr>
        <w:pStyle w:val="0"/>
        <w:ind w:left="713" w:leftChars="225" w:right="0" w:rightChars="0" w:hanging="240" w:hangingChars="10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ア　対象者の特徴に応じ、特定健康診査は５つ以上、後期高齢者医療健康診査は３つ以上のグループに分類すること。</w:t>
      </w:r>
    </w:p>
    <w:p>
      <w:pPr>
        <w:pStyle w:val="0"/>
        <w:ind w:left="713" w:leftChars="225" w:right="0" w:rightChars="0" w:hanging="240" w:hangingChars="10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イ　グループ別の受診勧奨対象者リストを作成すること。</w:t>
      </w:r>
    </w:p>
    <w:p>
      <w:pPr>
        <w:pStyle w:val="0"/>
        <w:ind w:left="713" w:leftChars="225" w:right="0" w:rightChars="0" w:hanging="240" w:hangingChars="10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ウ　より効果的な発送回数及び発送スケジュールを設定すること。</w:t>
      </w:r>
    </w:p>
    <w:p>
      <w:pPr>
        <w:pStyle w:val="0"/>
        <w:ind w:left="227" w:leftChars="0" w:firstLine="0" w:firstLineChars="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⑶　通知物の作成</w:t>
      </w:r>
    </w:p>
    <w:p>
      <w:pPr>
        <w:pStyle w:val="0"/>
        <w:ind w:left="468" w:leftChars="0" w:firstLine="240" w:firstLineChars="10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対象者が属するグループごとに、受診行動につながる内容の受診勧奨メッセージを作成し、印刷する。</w:t>
      </w:r>
    </w:p>
    <w:p>
      <w:pPr>
        <w:pStyle w:val="0"/>
        <w:ind w:left="227" w:leftChars="0" w:firstLine="0" w:firstLineChars="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⑷　台紙の印刷及び宛名印字</w:t>
      </w:r>
    </w:p>
    <w:p>
      <w:pPr>
        <w:pStyle w:val="0"/>
        <w:ind w:left="468" w:leftChars="0" w:firstLine="240" w:firstLineChars="10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作成した通知物の印刷及び送付対象者の郵便番号、住所及び宛名を印字する。</w:t>
      </w:r>
    </w:p>
    <w:p>
      <w:pPr>
        <w:pStyle w:val="0"/>
        <w:ind w:left="227" w:leftChars="0" w:firstLine="0" w:firstLineChars="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⑸　通知の発送</w:t>
      </w:r>
    </w:p>
    <w:p>
      <w:pPr>
        <w:pStyle w:val="0"/>
        <w:ind w:left="709" w:leftChars="0" w:firstLine="0" w:firstLineChars="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作成した通知を、受託者の責任において発送する。</w:t>
      </w:r>
    </w:p>
    <w:p>
      <w:pPr>
        <w:pStyle w:val="0"/>
        <w:ind w:left="227" w:leftChars="0" w:firstLine="0" w:firstLineChars="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⑹　事業評価及び改善策の提案</w:t>
      </w:r>
    </w:p>
    <w:p>
      <w:pPr>
        <w:pStyle w:val="0"/>
        <w:ind w:left="227" w:leftChars="0" w:firstLine="240" w:firstLineChars="10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ア　データ分析（年齢・性別の分析は必須）及び対象者の健診受診状況を評価</w:t>
      </w:r>
    </w:p>
    <w:p>
      <w:pPr>
        <w:pStyle w:val="0"/>
        <w:ind w:left="227" w:leftChars="0" w:firstLine="480" w:firstLineChars="20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し、その結果を取りまとめる。</w:t>
      </w:r>
    </w:p>
    <w:p>
      <w:pPr>
        <w:pStyle w:val="0"/>
        <w:ind w:left="660" w:leftChars="200" w:hanging="240" w:hangingChars="10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イ　次回健診受診率向上のための具体的な改善策を提案すること。</w:t>
      </w:r>
    </w:p>
    <w:p>
      <w:pPr>
        <w:pStyle w:val="0"/>
        <w:ind w:left="227" w:leftChars="0" w:firstLine="0" w:firstLineChars="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⑺　その他業務</w:t>
      </w:r>
    </w:p>
    <w:p>
      <w:pPr>
        <w:pStyle w:val="0"/>
        <w:ind w:left="468" w:leftChars="0" w:firstLine="240" w:firstLineChars="10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その他、受診率向上のために効果的と考えられる取組について、可能な範囲で実施する。</w:t>
      </w:r>
    </w:p>
    <w:p>
      <w:pPr>
        <w:pStyle w:val="0"/>
        <w:ind w:left="227" w:leftChars="0" w:firstLine="0" w:firstLineChars="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⑻　スケジュール（予定）</w:t>
      </w:r>
    </w:p>
    <w:tbl>
      <w:tblPr>
        <w:tblStyle w:val="47"/>
        <w:tblW w:w="7075" w:type="dxa"/>
        <w:jc w:val="left"/>
        <w:tblInd w:w="750" w:type="dxa"/>
        <w:tblLayout w:type="fixed"/>
        <w:tblLook w:firstRow="1" w:lastRow="0" w:firstColumn="1" w:lastColumn="0" w:noHBand="0" w:noVBand="1" w:val="04A0"/>
      </w:tblPr>
      <w:tblGrid>
        <w:gridCol w:w="3295"/>
        <w:gridCol w:w="3780"/>
      </w:tblGrid>
      <w:tr>
        <w:trPr>
          <w:trHeight w:val="130" w:hRule="atLeast"/>
        </w:trPr>
        <w:tc>
          <w:tcPr>
            <w:tcW w:w="3295" w:type="dxa"/>
            <w:vAlign w:val="top"/>
          </w:tcPr>
          <w:p>
            <w:pPr>
              <w:pStyle w:val="0"/>
              <w:mirrorIndents w:val="1"/>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時　期</w:t>
            </w:r>
          </w:p>
        </w:tc>
        <w:tc>
          <w:tcPr>
            <w:tcW w:w="3780" w:type="dxa"/>
            <w:vAlign w:val="top"/>
          </w:tcPr>
          <w:p>
            <w:pPr>
              <w:pStyle w:val="0"/>
              <w:mirrorIndents w:val="1"/>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内　容</w:t>
            </w:r>
          </w:p>
        </w:tc>
      </w:tr>
      <w:tr>
        <w:trPr/>
        <w:tc>
          <w:tcPr>
            <w:tcW w:w="3295" w:type="dxa"/>
            <w:vAlign w:val="top"/>
          </w:tcPr>
          <w:p>
            <w:pPr>
              <w:pStyle w:val="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令和８年　　６月～７月</w:t>
            </w:r>
          </w:p>
        </w:tc>
        <w:tc>
          <w:tcPr>
            <w:tcW w:w="3780" w:type="dxa"/>
            <w:vAlign w:val="top"/>
          </w:tcPr>
          <w:p>
            <w:pPr>
              <w:pStyle w:val="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データ提供・分析</w:t>
            </w:r>
          </w:p>
        </w:tc>
      </w:tr>
      <w:tr>
        <w:trPr/>
        <w:tc>
          <w:tcPr>
            <w:tcW w:w="3295" w:type="dxa"/>
            <w:vAlign w:val="top"/>
          </w:tcPr>
          <w:p>
            <w:pPr>
              <w:pStyle w:val="0"/>
              <w:ind w:firstLine="1440" w:firstLineChars="60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７月～</w:t>
            </w:r>
          </w:p>
        </w:tc>
        <w:tc>
          <w:tcPr>
            <w:tcW w:w="3780" w:type="dxa"/>
            <w:vAlign w:val="top"/>
          </w:tcPr>
          <w:p>
            <w:pPr>
              <w:pStyle w:val="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通知作成、宛名印字</w:t>
            </w:r>
          </w:p>
        </w:tc>
      </w:tr>
      <w:tr>
        <w:trPr/>
        <w:tc>
          <w:tcPr>
            <w:tcW w:w="3295" w:type="dxa"/>
            <w:vAlign w:val="top"/>
          </w:tcPr>
          <w:p>
            <w:pPr>
              <w:pStyle w:val="0"/>
              <w:ind w:firstLine="1440" w:firstLineChars="60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８月～９月</w:t>
            </w:r>
          </w:p>
        </w:tc>
        <w:tc>
          <w:tcPr>
            <w:tcW w:w="3780" w:type="dxa"/>
            <w:vAlign w:val="top"/>
          </w:tcPr>
          <w:p>
            <w:pPr>
              <w:pStyle w:val="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勧奨通知発送</w:t>
            </w:r>
          </w:p>
        </w:tc>
      </w:tr>
      <w:tr>
        <w:trPr/>
        <w:tc>
          <w:tcPr>
            <w:tcW w:w="3295" w:type="dxa"/>
            <w:vAlign w:val="top"/>
          </w:tcPr>
          <w:p>
            <w:pPr>
              <w:pStyle w:val="0"/>
              <w:ind w:firstLine="1200" w:firstLineChars="50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１０月末</w:t>
            </w:r>
          </w:p>
        </w:tc>
        <w:tc>
          <w:tcPr>
            <w:tcW w:w="3780" w:type="dxa"/>
            <w:vAlign w:val="top"/>
          </w:tcPr>
          <w:p>
            <w:pPr>
              <w:pStyle w:val="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健診終了</w:t>
            </w:r>
          </w:p>
        </w:tc>
      </w:tr>
      <w:tr>
        <w:trPr/>
        <w:tc>
          <w:tcPr>
            <w:tcW w:w="3295" w:type="dxa"/>
            <w:vAlign w:val="top"/>
          </w:tcPr>
          <w:p>
            <w:pPr>
              <w:pStyle w:val="0"/>
              <w:ind w:firstLine="1200" w:firstLineChars="50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１１月～</w:t>
            </w:r>
          </w:p>
        </w:tc>
        <w:tc>
          <w:tcPr>
            <w:tcW w:w="3780" w:type="dxa"/>
            <w:vAlign w:val="top"/>
          </w:tcPr>
          <w:p>
            <w:pPr>
              <w:pStyle w:val="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分析、評価作成</w:t>
            </w:r>
          </w:p>
        </w:tc>
      </w:tr>
      <w:tr>
        <w:trPr/>
        <w:tc>
          <w:tcPr>
            <w:tcW w:w="3295" w:type="dxa"/>
            <w:vAlign w:val="top"/>
          </w:tcPr>
          <w:p>
            <w:pPr>
              <w:pStyle w:val="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令和９年　　１月末</w:t>
            </w:r>
          </w:p>
        </w:tc>
        <w:tc>
          <w:tcPr>
            <w:tcW w:w="3780" w:type="dxa"/>
            <w:vAlign w:val="top"/>
          </w:tcPr>
          <w:p>
            <w:pPr>
              <w:pStyle w:val="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分析結果・評価提出</w:t>
            </w:r>
          </w:p>
        </w:tc>
      </w:tr>
      <w:tr>
        <w:trPr/>
        <w:tc>
          <w:tcPr>
            <w:tcW w:w="3295" w:type="dxa"/>
            <w:vAlign w:val="top"/>
          </w:tcPr>
          <w:p>
            <w:pPr>
              <w:pStyle w:val="0"/>
              <w:ind w:firstLine="1440" w:firstLineChars="60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３月末</w:t>
            </w:r>
          </w:p>
        </w:tc>
        <w:tc>
          <w:tcPr>
            <w:tcW w:w="3780" w:type="dxa"/>
            <w:vAlign w:val="top"/>
          </w:tcPr>
          <w:p>
            <w:pPr>
              <w:pStyle w:val="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委託事業完了</w:t>
            </w:r>
          </w:p>
        </w:tc>
      </w:tr>
    </w:tbl>
    <w:p>
      <w:pPr>
        <w:pStyle w:val="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３　業務の実施方法</w:t>
      </w:r>
    </w:p>
    <w:p>
      <w:pPr>
        <w:pStyle w:val="0"/>
        <w:adjustRightInd w:val="0"/>
        <w:ind w:left="231" w:leftChars="110" w:firstLine="240" w:firstLineChars="100"/>
        <w:mirrorIndents w:val="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国民健康保険から後期高齢者医療制度まで一貫した受診勧奨を行うことが有効であることから、特定健康診査及び後期高齢者医療健康診査の受診勧奨を一体的に実施する。</w:t>
      </w:r>
    </w:p>
    <w:p>
      <w:pPr>
        <w:pStyle w:val="0"/>
        <w:adjustRightInd w:val="0"/>
        <w:ind w:left="231" w:leftChars="110" w:firstLine="240" w:firstLineChars="100"/>
        <w:mirrorIndents w:val="0"/>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また、本業務の実施に当たっては高い専門性及びノウハウが求められることから、公募型プロポーザル方式により業務実施能力等を審査し、委託事業者を選定する。</w:t>
      </w:r>
    </w:p>
    <w:p>
      <w:pPr>
        <w:pStyle w:val="0"/>
        <w:mirrorIndents w:val="1"/>
        <w:rPr>
          <w:rFonts w:hint="eastAsia" w:ascii="ＭＳ 明朝" w:hAnsi="ＭＳ 明朝" w:eastAsia="ＭＳ 明朝"/>
          <w:color w:val="000000" w:themeColor="text1"/>
          <w:sz w:val="24"/>
        </w:rPr>
      </w:pPr>
    </w:p>
    <w:p>
      <w:pPr>
        <w:pStyle w:val="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４　参考情報</w:t>
      </w:r>
    </w:p>
    <w:p>
      <w:pPr>
        <w:pStyle w:val="0"/>
        <w:ind w:firstLine="240" w:firstLineChars="10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⑴　基本情報</w:t>
      </w:r>
    </w:p>
    <w:tbl>
      <w:tblPr>
        <w:tblStyle w:val="47"/>
        <w:tblW w:w="8574" w:type="dxa"/>
        <w:jc w:val="left"/>
        <w:tblInd w:w="721" w:type="dxa"/>
        <w:tblLayout w:type="fixed"/>
        <w:tblLook w:firstRow="1" w:lastRow="0" w:firstColumn="1" w:lastColumn="0" w:noHBand="0" w:noVBand="1" w:val="04A0"/>
      </w:tblPr>
      <w:tblGrid>
        <w:gridCol w:w="2708"/>
        <w:gridCol w:w="5866"/>
      </w:tblGrid>
      <w:tr>
        <w:trPr>
          <w:trHeight w:val="565" w:hRule="atLeast"/>
        </w:trPr>
        <w:tc>
          <w:tcPr>
            <w:tcW w:w="2721" w:type="dxa"/>
            <w:vAlign w:val="center"/>
          </w:tcPr>
          <w:p>
            <w:pPr>
              <w:pStyle w:val="0"/>
              <w:mirrorIndents w:val="1"/>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人口（</w:t>
            </w:r>
            <w:r>
              <w:rPr>
                <w:rFonts w:hint="eastAsia" w:ascii="ＭＳ 明朝" w:hAnsi="ＭＳ 明朝" w:eastAsia="ＭＳ 明朝"/>
                <w:color w:val="000000" w:themeColor="text1"/>
                <w:sz w:val="24"/>
              </w:rPr>
              <w:t>R7.4.1</w:t>
            </w:r>
            <w:r>
              <w:rPr>
                <w:rFonts w:hint="eastAsia" w:ascii="ＭＳ 明朝" w:hAnsi="ＭＳ 明朝" w:eastAsia="ＭＳ 明朝"/>
                <w:color w:val="000000" w:themeColor="text1"/>
                <w:sz w:val="24"/>
              </w:rPr>
              <w:t>時点）</w:t>
            </w:r>
          </w:p>
        </w:tc>
        <w:tc>
          <w:tcPr>
            <w:tcW w:w="5896" w:type="dxa"/>
            <w:vAlign w:val="center"/>
          </w:tcPr>
          <w:p>
            <w:pPr>
              <w:pStyle w:val="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83,606</w:t>
            </w:r>
            <w:r>
              <w:rPr>
                <w:rFonts w:hint="eastAsia" w:ascii="ＭＳ 明朝" w:hAnsi="ＭＳ 明朝" w:eastAsia="ＭＳ 明朝"/>
                <w:color w:val="000000" w:themeColor="text1"/>
                <w:sz w:val="24"/>
              </w:rPr>
              <w:t>人</w:t>
            </w:r>
          </w:p>
        </w:tc>
      </w:tr>
      <w:tr>
        <w:trPr>
          <w:trHeight w:val="840" w:hRule="atLeast"/>
        </w:trPr>
        <w:tc>
          <w:tcPr>
            <w:tcW w:w="2721" w:type="dxa"/>
            <w:vAlign w:val="center"/>
          </w:tcPr>
          <w:p>
            <w:pPr>
              <w:pStyle w:val="0"/>
              <w:mirrorIndents w:val="1"/>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R7</w:t>
            </w:r>
            <w:r>
              <w:rPr>
                <w:rFonts w:hint="eastAsia" w:ascii="ＭＳ 明朝" w:hAnsi="ＭＳ 明朝" w:eastAsia="ＭＳ 明朝"/>
                <w:color w:val="000000" w:themeColor="text1"/>
                <w:sz w:val="24"/>
              </w:rPr>
              <w:t>受診者数</w:t>
            </w: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対象者数</w:t>
            </w:r>
          </w:p>
          <w:p>
            <w:pPr>
              <w:pStyle w:val="0"/>
              <w:mirrorIndents w:val="1"/>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健診受診率</w:t>
            </w:r>
          </w:p>
          <w:p>
            <w:pPr>
              <w:pStyle w:val="0"/>
              <w:mirrorIndents w:val="1"/>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R8.3.31</w:t>
            </w:r>
            <w:r>
              <w:rPr>
                <w:rFonts w:hint="eastAsia" w:ascii="ＭＳ 明朝" w:hAnsi="ＭＳ 明朝" w:eastAsia="ＭＳ 明朝"/>
                <w:color w:val="000000" w:themeColor="text1"/>
                <w:sz w:val="24"/>
              </w:rPr>
              <w:t>時点）</w:t>
            </w:r>
          </w:p>
        </w:tc>
        <w:tc>
          <w:tcPr>
            <w:tcW w:w="5896" w:type="dxa"/>
            <w:vAlign w:val="center"/>
          </w:tcPr>
          <w:p>
            <w:pPr>
              <w:pStyle w:val="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特定健診　</w:t>
            </w:r>
            <w:r>
              <w:rPr>
                <w:rFonts w:hint="eastAsia" w:ascii="ＭＳ 明朝" w:hAnsi="ＭＳ 明朝" w:eastAsia="ＭＳ 明朝"/>
                <w:color w:val="000000" w:themeColor="text1"/>
                <w:sz w:val="24"/>
              </w:rPr>
              <w:t>4,330</w:t>
            </w:r>
            <w:r>
              <w:rPr>
                <w:rFonts w:hint="eastAsia" w:ascii="ＭＳ 明朝" w:hAnsi="ＭＳ 明朝" w:eastAsia="ＭＳ 明朝"/>
                <w:color w:val="000000" w:themeColor="text1"/>
                <w:sz w:val="24"/>
              </w:rPr>
              <w:t>人</w:t>
            </w:r>
            <w:r>
              <w:rPr>
                <w:rFonts w:hint="eastAsia" w:ascii="ＭＳ 明朝" w:hAnsi="ＭＳ 明朝" w:eastAsia="ＭＳ 明朝"/>
                <w:color w:val="000000" w:themeColor="text1"/>
                <w:sz w:val="24"/>
              </w:rPr>
              <w:t>/9,714</w:t>
            </w:r>
            <w:r>
              <w:rPr>
                <w:rFonts w:hint="eastAsia" w:ascii="ＭＳ 明朝" w:hAnsi="ＭＳ 明朝" w:eastAsia="ＭＳ 明朝"/>
                <w:color w:val="000000" w:themeColor="text1"/>
                <w:sz w:val="24"/>
              </w:rPr>
              <w:t>人　</w:t>
            </w:r>
            <w:r>
              <w:rPr>
                <w:rFonts w:hint="eastAsia" w:ascii="ＭＳ 明朝" w:hAnsi="ＭＳ 明朝" w:eastAsia="ＭＳ 明朝"/>
                <w:color w:val="000000" w:themeColor="text1"/>
                <w:sz w:val="24"/>
              </w:rPr>
              <w:t>44.6</w:t>
            </w:r>
            <w:r>
              <w:rPr>
                <w:rFonts w:hint="eastAsia" w:ascii="ＭＳ 明朝" w:hAnsi="ＭＳ 明朝" w:eastAsia="ＭＳ 明朝"/>
                <w:color w:val="000000" w:themeColor="text1"/>
                <w:sz w:val="24"/>
              </w:rPr>
              <w:t>％</w:t>
            </w:r>
          </w:p>
          <w:p>
            <w:pPr>
              <w:pStyle w:val="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後期健診　</w:t>
            </w:r>
            <w:r>
              <w:rPr>
                <w:rFonts w:hint="eastAsia" w:ascii="ＭＳ 明朝" w:hAnsi="ＭＳ 明朝" w:eastAsia="ＭＳ 明朝"/>
                <w:color w:val="000000" w:themeColor="text1"/>
                <w:sz w:val="24"/>
              </w:rPr>
              <w:t>5,751</w:t>
            </w:r>
            <w:r>
              <w:rPr>
                <w:rFonts w:hint="eastAsia" w:ascii="ＭＳ 明朝" w:hAnsi="ＭＳ 明朝" w:eastAsia="ＭＳ 明朝"/>
                <w:color w:val="000000" w:themeColor="text1"/>
                <w:sz w:val="24"/>
              </w:rPr>
              <w:t>人</w:t>
            </w:r>
            <w:r>
              <w:rPr>
                <w:rFonts w:hint="eastAsia" w:ascii="ＭＳ 明朝" w:hAnsi="ＭＳ 明朝" w:eastAsia="ＭＳ 明朝"/>
                <w:color w:val="000000" w:themeColor="text1"/>
                <w:sz w:val="24"/>
              </w:rPr>
              <w:t>/13,527</w:t>
            </w:r>
            <w:r>
              <w:rPr>
                <w:rFonts w:hint="eastAsia" w:ascii="ＭＳ 明朝" w:hAnsi="ＭＳ 明朝" w:eastAsia="ＭＳ 明朝"/>
                <w:color w:val="000000" w:themeColor="text1"/>
                <w:sz w:val="24"/>
              </w:rPr>
              <w:t>人　</w:t>
            </w:r>
            <w:r>
              <w:rPr>
                <w:rFonts w:hint="eastAsia" w:ascii="ＭＳ 明朝" w:hAnsi="ＭＳ 明朝" w:eastAsia="ＭＳ 明朝"/>
                <w:color w:val="000000" w:themeColor="text1"/>
                <w:sz w:val="24"/>
              </w:rPr>
              <w:t>42.5</w:t>
            </w:r>
            <w:r>
              <w:rPr>
                <w:rFonts w:hint="eastAsia" w:ascii="ＭＳ 明朝" w:hAnsi="ＭＳ 明朝" w:eastAsia="ＭＳ 明朝"/>
                <w:color w:val="000000" w:themeColor="text1"/>
                <w:sz w:val="24"/>
              </w:rPr>
              <w:t>％</w:t>
            </w:r>
          </w:p>
        </w:tc>
      </w:tr>
      <w:tr>
        <w:trPr>
          <w:trHeight w:val="838" w:hRule="atLeast"/>
        </w:trPr>
        <w:tc>
          <w:tcPr>
            <w:tcW w:w="2721" w:type="dxa"/>
            <w:vAlign w:val="center"/>
          </w:tcPr>
          <w:p>
            <w:pPr>
              <w:pStyle w:val="0"/>
              <w:mirrorIndents w:val="1"/>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勧奨通知発送件数</w:t>
            </w:r>
          </w:p>
          <w:p>
            <w:pPr>
              <w:pStyle w:val="0"/>
              <w:mirrorIndents w:val="1"/>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w:t>
            </w:r>
            <w:r>
              <w:rPr>
                <w:rFonts w:hint="eastAsia" w:ascii="ＭＳ 明朝" w:hAnsi="ＭＳ 明朝" w:eastAsia="ＭＳ 明朝"/>
                <w:color w:val="000000" w:themeColor="text1"/>
                <w:sz w:val="24"/>
              </w:rPr>
              <w:t>R7</w:t>
            </w:r>
            <w:r>
              <w:rPr>
                <w:rFonts w:hint="eastAsia" w:ascii="ＭＳ 明朝" w:hAnsi="ＭＳ 明朝" w:eastAsia="ＭＳ 明朝"/>
                <w:color w:val="000000" w:themeColor="text1"/>
                <w:sz w:val="24"/>
              </w:rPr>
              <w:t>実績）</w:t>
            </w:r>
          </w:p>
        </w:tc>
        <w:tc>
          <w:tcPr>
            <w:tcW w:w="5896" w:type="dxa"/>
            <w:vAlign w:val="center"/>
          </w:tcPr>
          <w:p>
            <w:pPr>
              <w:pStyle w:val="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特定健診　</w:t>
            </w:r>
            <w:r>
              <w:rPr>
                <w:rFonts w:hint="eastAsia" w:ascii="ＭＳ 明朝" w:hAnsi="ＭＳ 明朝" w:eastAsia="ＭＳ 明朝"/>
                <w:color w:val="000000" w:themeColor="text1"/>
                <w:sz w:val="24"/>
              </w:rPr>
              <w:t>1</w:t>
            </w:r>
            <w:r>
              <w:rPr>
                <w:rFonts w:hint="eastAsia" w:ascii="ＭＳ 明朝" w:hAnsi="ＭＳ 明朝" w:eastAsia="ＭＳ 明朝"/>
                <w:color w:val="000000" w:themeColor="text1"/>
                <w:sz w:val="24"/>
              </w:rPr>
              <w:t>回目：</w:t>
            </w:r>
            <w:r>
              <w:rPr>
                <w:rFonts w:hint="eastAsia" w:ascii="ＭＳ 明朝" w:hAnsi="ＭＳ 明朝" w:eastAsia="ＭＳ 明朝"/>
                <w:color w:val="000000" w:themeColor="text1"/>
                <w:sz w:val="24"/>
              </w:rPr>
              <w:t>6,899</w:t>
            </w:r>
            <w:r>
              <w:rPr>
                <w:rFonts w:hint="eastAsia" w:ascii="ＭＳ 明朝" w:hAnsi="ＭＳ 明朝" w:eastAsia="ＭＳ 明朝"/>
                <w:color w:val="000000" w:themeColor="text1"/>
                <w:sz w:val="24"/>
              </w:rPr>
              <w:t>件　</w:t>
            </w:r>
            <w:r>
              <w:rPr>
                <w:rFonts w:hint="eastAsia" w:ascii="ＭＳ 明朝" w:hAnsi="ＭＳ 明朝" w:eastAsia="ＭＳ 明朝"/>
                <w:color w:val="000000" w:themeColor="text1"/>
                <w:sz w:val="24"/>
              </w:rPr>
              <w:t>2</w:t>
            </w:r>
            <w:r>
              <w:rPr>
                <w:rFonts w:hint="eastAsia" w:ascii="ＭＳ 明朝" w:hAnsi="ＭＳ 明朝" w:eastAsia="ＭＳ 明朝"/>
                <w:color w:val="000000" w:themeColor="text1"/>
                <w:sz w:val="24"/>
              </w:rPr>
              <w:t>回目：</w:t>
            </w:r>
            <w:r>
              <w:rPr>
                <w:rFonts w:hint="eastAsia" w:ascii="ＭＳ 明朝" w:hAnsi="ＭＳ 明朝" w:eastAsia="ＭＳ 明朝"/>
                <w:color w:val="000000" w:themeColor="text1"/>
                <w:sz w:val="24"/>
              </w:rPr>
              <w:t>6,321</w:t>
            </w:r>
            <w:r>
              <w:rPr>
                <w:rFonts w:hint="eastAsia" w:ascii="ＭＳ 明朝" w:hAnsi="ＭＳ 明朝" w:eastAsia="ＭＳ 明朝"/>
                <w:color w:val="000000" w:themeColor="text1"/>
                <w:sz w:val="24"/>
              </w:rPr>
              <w:t>件</w:t>
            </w:r>
          </w:p>
          <w:p>
            <w:pPr>
              <w:pStyle w:val="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後期健診　</w:t>
            </w:r>
            <w:r>
              <w:rPr>
                <w:rFonts w:hint="eastAsia" w:ascii="ＭＳ 明朝" w:hAnsi="ＭＳ 明朝" w:eastAsia="ＭＳ 明朝"/>
                <w:color w:val="000000" w:themeColor="text1"/>
                <w:sz w:val="24"/>
              </w:rPr>
              <w:t>1</w:t>
            </w:r>
            <w:r>
              <w:rPr>
                <w:rFonts w:hint="eastAsia" w:ascii="ＭＳ 明朝" w:hAnsi="ＭＳ 明朝" w:eastAsia="ＭＳ 明朝"/>
                <w:color w:val="000000" w:themeColor="text1"/>
                <w:sz w:val="24"/>
              </w:rPr>
              <w:t>回目：</w:t>
            </w:r>
            <w:r>
              <w:rPr>
                <w:rFonts w:hint="eastAsia" w:ascii="ＭＳ 明朝" w:hAnsi="ＭＳ 明朝" w:eastAsia="ＭＳ 明朝"/>
                <w:color w:val="000000" w:themeColor="text1"/>
                <w:sz w:val="24"/>
              </w:rPr>
              <w:t>5,790</w:t>
            </w:r>
            <w:r>
              <w:rPr>
                <w:rFonts w:hint="eastAsia" w:ascii="ＭＳ 明朝" w:hAnsi="ＭＳ 明朝" w:eastAsia="ＭＳ 明朝"/>
                <w:color w:val="000000" w:themeColor="text1"/>
                <w:sz w:val="24"/>
              </w:rPr>
              <w:t>件　</w:t>
            </w:r>
            <w:r>
              <w:rPr>
                <w:rFonts w:hint="eastAsia" w:ascii="ＭＳ 明朝" w:hAnsi="ＭＳ 明朝" w:eastAsia="ＭＳ 明朝"/>
                <w:color w:val="000000" w:themeColor="text1"/>
                <w:sz w:val="24"/>
              </w:rPr>
              <w:t>2</w:t>
            </w:r>
            <w:r>
              <w:rPr>
                <w:rFonts w:hint="eastAsia" w:ascii="ＭＳ 明朝" w:hAnsi="ＭＳ 明朝" w:eastAsia="ＭＳ 明朝"/>
                <w:color w:val="000000" w:themeColor="text1"/>
                <w:sz w:val="24"/>
              </w:rPr>
              <w:t>回目：</w:t>
            </w:r>
            <w:r>
              <w:rPr>
                <w:rFonts w:hint="eastAsia" w:ascii="ＭＳ 明朝" w:hAnsi="ＭＳ 明朝" w:eastAsia="ＭＳ 明朝"/>
                <w:color w:val="000000" w:themeColor="text1"/>
                <w:sz w:val="24"/>
              </w:rPr>
              <w:t>2,971</w:t>
            </w:r>
            <w:r>
              <w:rPr>
                <w:rFonts w:hint="eastAsia" w:ascii="ＭＳ 明朝" w:hAnsi="ＭＳ 明朝" w:eastAsia="ＭＳ 明朝"/>
                <w:color w:val="000000" w:themeColor="text1"/>
                <w:sz w:val="24"/>
              </w:rPr>
              <w:t>件</w:t>
            </w:r>
          </w:p>
        </w:tc>
      </w:tr>
      <w:tr>
        <w:trPr>
          <w:trHeight w:val="566" w:hRule="atLeast"/>
        </w:trPr>
        <w:tc>
          <w:tcPr>
            <w:tcW w:w="2721" w:type="dxa"/>
            <w:vAlign w:val="center"/>
          </w:tcPr>
          <w:p>
            <w:pPr>
              <w:pStyle w:val="0"/>
              <w:mirrorIndents w:val="1"/>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健診実施期間</w:t>
            </w:r>
          </w:p>
        </w:tc>
        <w:tc>
          <w:tcPr>
            <w:tcW w:w="5896" w:type="dxa"/>
            <w:vAlign w:val="center"/>
          </w:tcPr>
          <w:p>
            <w:pPr>
              <w:pStyle w:val="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令和８年６月１日から令和８年１０月３１日まで</w:t>
            </w:r>
          </w:p>
        </w:tc>
      </w:tr>
      <w:tr>
        <w:trPr>
          <w:trHeight w:val="816" w:hRule="atLeast"/>
        </w:trPr>
        <w:tc>
          <w:tcPr>
            <w:tcW w:w="2721" w:type="dxa"/>
            <w:vAlign w:val="center"/>
          </w:tcPr>
          <w:p>
            <w:pPr>
              <w:pStyle w:val="0"/>
              <w:mirrorIndents w:val="1"/>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健診実施方法</w:t>
            </w:r>
          </w:p>
        </w:tc>
        <w:tc>
          <w:tcPr>
            <w:tcW w:w="5896" w:type="dxa"/>
            <w:vAlign w:val="center"/>
          </w:tcPr>
          <w:p>
            <w:pPr>
              <w:pStyle w:val="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個別方式（尾張旭市・瀬戸市内の実施医療機関）</w:t>
            </w:r>
          </w:p>
        </w:tc>
      </w:tr>
      <w:tr>
        <w:trPr>
          <w:trHeight w:val="816" w:hRule="atLeast"/>
        </w:trPr>
        <w:tc>
          <w:tcPr>
            <w:tcW w:w="2721" w:type="dxa"/>
            <w:vAlign w:val="center"/>
          </w:tcPr>
          <w:p>
            <w:pPr>
              <w:pStyle w:val="0"/>
              <w:mirrorIndents w:val="1"/>
              <w:jc w:val="center"/>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受診方法</w:t>
            </w:r>
          </w:p>
        </w:tc>
        <w:tc>
          <w:tcPr>
            <w:tcW w:w="5896" w:type="dxa"/>
            <w:vAlign w:val="center"/>
          </w:tcPr>
          <w:p>
            <w:pPr>
              <w:pStyle w:val="0"/>
              <w:mirrorIndents w:val="1"/>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令和８年５月下旬に、がん検診も含めた受診券等を対象者に郵送。受診券等を持参し、実施医療機関で健診を受診する。予約の要不要は医療機関ごとに異なる。</w:t>
            </w:r>
          </w:p>
        </w:tc>
      </w:tr>
    </w:tbl>
    <w:p>
      <w:pPr>
        <w:pStyle w:val="0"/>
        <w:mirrorIndents w:val="1"/>
        <w:rPr>
          <w:rFonts w:hint="eastAsia" w:ascii="ＭＳ 明朝" w:hAnsi="ＭＳ 明朝" w:eastAsia="ＭＳ 明朝"/>
          <w:color w:val="000000" w:themeColor="text1"/>
          <w:sz w:val="24"/>
        </w:rPr>
      </w:pPr>
    </w:p>
    <w:p>
      <w:pPr>
        <w:pStyle w:val="0"/>
        <w:ind w:firstLine="240" w:firstLineChars="10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⑵　受診率の推移</w:t>
      </w:r>
    </w:p>
    <w:tbl>
      <w:tblPr>
        <w:tblStyle w:val="48"/>
        <w:tblW w:w="0" w:type="auto"/>
        <w:jc w:val="left"/>
        <w:tblInd w:w="715" w:type="dxa"/>
        <w:tblLayout w:type="fixed"/>
        <w:tblLook w:firstRow="1" w:lastRow="0" w:firstColumn="1" w:lastColumn="0" w:noHBand="0" w:noVBand="1" w:val="04A0"/>
      </w:tblPr>
      <w:tblGrid>
        <w:gridCol w:w="2154"/>
        <w:gridCol w:w="2098"/>
        <w:gridCol w:w="2098"/>
        <w:gridCol w:w="2211"/>
      </w:tblGrid>
      <w:tr>
        <w:trPr>
          <w:trHeight w:val="567" w:hRule="atLeast"/>
        </w:trPr>
        <w:tc>
          <w:tcPr>
            <w:tcW w:w="2154" w:type="dxa"/>
            <w:vAlign w:val="center"/>
          </w:tcPr>
          <w:p>
            <w:pPr>
              <w:pStyle w:val="0"/>
              <w:mirrorIndents w:val="1"/>
              <w:jc w:val="center"/>
              <w:rPr>
                <w:rFonts w:hint="eastAsia" w:ascii="ＭＳ 明朝" w:hAnsi="ＭＳ 明朝" w:eastAsia="ＭＳ 明朝"/>
                <w:sz w:val="24"/>
              </w:rPr>
            </w:pPr>
          </w:p>
        </w:tc>
        <w:tc>
          <w:tcPr>
            <w:tcW w:w="2098" w:type="dxa"/>
            <w:vAlign w:val="center"/>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特定健康診査</w:t>
            </w:r>
          </w:p>
        </w:tc>
        <w:tc>
          <w:tcPr>
            <w:tcW w:w="2098" w:type="dxa"/>
            <w:vAlign w:val="center"/>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後期高齢者医療</w:t>
            </w:r>
          </w:p>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健康診査</w:t>
            </w:r>
          </w:p>
        </w:tc>
        <w:tc>
          <w:tcPr>
            <w:tcW w:w="2211" w:type="dxa"/>
            <w:vAlign w:val="center"/>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備考</w:t>
            </w:r>
          </w:p>
        </w:tc>
      </w:tr>
      <w:tr>
        <w:trPr/>
        <w:tc>
          <w:tcPr>
            <w:tcW w:w="2154" w:type="dxa"/>
            <w:vAlign w:val="top"/>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令和７年度※</w:t>
            </w:r>
          </w:p>
        </w:tc>
        <w:tc>
          <w:tcPr>
            <w:tcW w:w="2098" w:type="dxa"/>
            <w:vAlign w:val="center"/>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44.6</w:t>
            </w:r>
            <w:r>
              <w:rPr>
                <w:rFonts w:hint="eastAsia" w:ascii="ＭＳ 明朝" w:hAnsi="ＭＳ 明朝" w:eastAsia="ＭＳ 明朝"/>
                <w:sz w:val="24"/>
              </w:rPr>
              <w:t>％</w:t>
            </w:r>
          </w:p>
        </w:tc>
        <w:tc>
          <w:tcPr>
            <w:tcW w:w="2098" w:type="dxa"/>
            <w:vAlign w:val="center"/>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42.5</w:t>
            </w:r>
            <w:r>
              <w:rPr>
                <w:rFonts w:hint="eastAsia" w:ascii="ＭＳ 明朝" w:hAnsi="ＭＳ 明朝" w:eastAsia="ＭＳ 明朝"/>
                <w:sz w:val="24"/>
              </w:rPr>
              <w:t>％</w:t>
            </w:r>
          </w:p>
        </w:tc>
        <w:tc>
          <w:tcPr>
            <w:tcW w:w="2211" w:type="dxa"/>
            <w:vAlign w:val="top"/>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委託２回通知</w:t>
            </w:r>
          </w:p>
        </w:tc>
      </w:tr>
      <w:tr>
        <w:trPr/>
        <w:tc>
          <w:tcPr>
            <w:tcW w:w="2154" w:type="dxa"/>
            <w:vAlign w:val="top"/>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令和６年度</w:t>
            </w:r>
          </w:p>
        </w:tc>
        <w:tc>
          <w:tcPr>
            <w:tcW w:w="2098" w:type="dxa"/>
            <w:vAlign w:val="center"/>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46.1</w:t>
            </w:r>
            <w:r>
              <w:rPr>
                <w:rFonts w:hint="eastAsia" w:ascii="ＭＳ 明朝" w:hAnsi="ＭＳ 明朝" w:eastAsia="ＭＳ 明朝"/>
                <w:sz w:val="24"/>
              </w:rPr>
              <w:t>％</w:t>
            </w:r>
          </w:p>
        </w:tc>
        <w:tc>
          <w:tcPr>
            <w:tcW w:w="2098" w:type="dxa"/>
            <w:vAlign w:val="center"/>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42.4</w:t>
            </w:r>
            <w:r>
              <w:rPr>
                <w:rFonts w:hint="eastAsia" w:ascii="ＭＳ 明朝" w:hAnsi="ＭＳ 明朝" w:eastAsia="ＭＳ 明朝"/>
                <w:sz w:val="24"/>
              </w:rPr>
              <w:t>％</w:t>
            </w:r>
          </w:p>
        </w:tc>
        <w:tc>
          <w:tcPr>
            <w:tcW w:w="2211" w:type="dxa"/>
            <w:vAlign w:val="top"/>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委託１回通知</w:t>
            </w:r>
          </w:p>
        </w:tc>
      </w:tr>
      <w:tr>
        <w:trPr/>
        <w:tc>
          <w:tcPr>
            <w:tcW w:w="2154" w:type="dxa"/>
            <w:vAlign w:val="top"/>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令和５年度</w:t>
            </w:r>
          </w:p>
        </w:tc>
        <w:tc>
          <w:tcPr>
            <w:tcW w:w="2098" w:type="dxa"/>
            <w:vAlign w:val="center"/>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44.3</w:t>
            </w:r>
            <w:r>
              <w:rPr>
                <w:rFonts w:hint="eastAsia" w:ascii="ＭＳ 明朝" w:hAnsi="ＭＳ 明朝" w:eastAsia="ＭＳ 明朝"/>
                <w:sz w:val="24"/>
              </w:rPr>
              <w:t>％</w:t>
            </w:r>
          </w:p>
        </w:tc>
        <w:tc>
          <w:tcPr>
            <w:tcW w:w="2098" w:type="dxa"/>
            <w:vAlign w:val="center"/>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43.4</w:t>
            </w:r>
            <w:r>
              <w:rPr>
                <w:rFonts w:hint="eastAsia" w:ascii="ＭＳ 明朝" w:hAnsi="ＭＳ 明朝" w:eastAsia="ＭＳ 明朝"/>
                <w:sz w:val="24"/>
              </w:rPr>
              <w:t>％</w:t>
            </w:r>
          </w:p>
        </w:tc>
        <w:tc>
          <w:tcPr>
            <w:tcW w:w="2211" w:type="dxa"/>
            <w:vAlign w:val="top"/>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直営１回通知</w:t>
            </w:r>
          </w:p>
        </w:tc>
      </w:tr>
      <w:tr>
        <w:trPr/>
        <w:tc>
          <w:tcPr>
            <w:tcW w:w="2154" w:type="dxa"/>
            <w:vAlign w:val="top"/>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令和４年度</w:t>
            </w:r>
          </w:p>
        </w:tc>
        <w:tc>
          <w:tcPr>
            <w:tcW w:w="2098" w:type="dxa"/>
            <w:vAlign w:val="center"/>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45.5</w:t>
            </w:r>
            <w:r>
              <w:rPr>
                <w:rFonts w:hint="eastAsia" w:ascii="ＭＳ 明朝" w:hAnsi="ＭＳ 明朝" w:eastAsia="ＭＳ 明朝"/>
                <w:sz w:val="24"/>
              </w:rPr>
              <w:t>％</w:t>
            </w:r>
          </w:p>
        </w:tc>
        <w:tc>
          <w:tcPr>
            <w:tcW w:w="2098" w:type="dxa"/>
            <w:vAlign w:val="center"/>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43.2</w:t>
            </w:r>
            <w:r>
              <w:rPr>
                <w:rFonts w:hint="eastAsia" w:ascii="ＭＳ 明朝" w:hAnsi="ＭＳ 明朝" w:eastAsia="ＭＳ 明朝"/>
                <w:sz w:val="24"/>
              </w:rPr>
              <w:t>％</w:t>
            </w:r>
          </w:p>
        </w:tc>
        <w:tc>
          <w:tcPr>
            <w:tcW w:w="2211" w:type="dxa"/>
            <w:vAlign w:val="top"/>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直営１回通知</w:t>
            </w:r>
          </w:p>
        </w:tc>
      </w:tr>
      <w:tr>
        <w:trPr/>
        <w:tc>
          <w:tcPr>
            <w:tcW w:w="2154" w:type="dxa"/>
            <w:vAlign w:val="top"/>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令和３年度</w:t>
            </w:r>
          </w:p>
        </w:tc>
        <w:tc>
          <w:tcPr>
            <w:tcW w:w="2098" w:type="dxa"/>
            <w:vAlign w:val="center"/>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44.6</w:t>
            </w:r>
            <w:r>
              <w:rPr>
                <w:rFonts w:hint="eastAsia" w:ascii="ＭＳ 明朝" w:hAnsi="ＭＳ 明朝" w:eastAsia="ＭＳ 明朝"/>
                <w:sz w:val="24"/>
              </w:rPr>
              <w:t>％</w:t>
            </w:r>
          </w:p>
        </w:tc>
        <w:tc>
          <w:tcPr>
            <w:tcW w:w="2098" w:type="dxa"/>
            <w:vAlign w:val="center"/>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42.8</w:t>
            </w:r>
            <w:r>
              <w:rPr>
                <w:rFonts w:hint="eastAsia" w:ascii="ＭＳ 明朝" w:hAnsi="ＭＳ 明朝" w:eastAsia="ＭＳ 明朝"/>
                <w:sz w:val="24"/>
              </w:rPr>
              <w:t>％</w:t>
            </w:r>
          </w:p>
        </w:tc>
        <w:tc>
          <w:tcPr>
            <w:tcW w:w="2211" w:type="dxa"/>
            <w:vAlign w:val="top"/>
          </w:tcPr>
          <w:p>
            <w:pPr>
              <w:pStyle w:val="0"/>
              <w:mirrorIndents w:val="1"/>
              <w:jc w:val="center"/>
              <w:rPr>
                <w:rFonts w:hint="eastAsia" w:ascii="ＭＳ 明朝" w:hAnsi="ＭＳ 明朝" w:eastAsia="ＭＳ 明朝"/>
                <w:sz w:val="24"/>
              </w:rPr>
            </w:pPr>
            <w:r>
              <w:rPr>
                <w:rFonts w:hint="eastAsia" w:ascii="ＭＳ 明朝" w:hAnsi="ＭＳ 明朝" w:eastAsia="ＭＳ 明朝"/>
                <w:sz w:val="24"/>
              </w:rPr>
              <w:t>直営１回通知</w:t>
            </w:r>
          </w:p>
        </w:tc>
      </w:tr>
    </w:tbl>
    <w:p>
      <w:pPr>
        <w:pStyle w:val="0"/>
        <w:mirrorIndents w:val="1"/>
        <w:rPr>
          <w:rFonts w:hint="eastAsia" w:ascii="ＭＳ 明朝" w:hAnsi="ＭＳ 明朝" w:eastAsia="ＭＳ 明朝"/>
          <w:color w:val="000000" w:themeColor="text1"/>
          <w:sz w:val="24"/>
        </w:rPr>
      </w:pPr>
      <w:r>
        <w:rPr>
          <w:rFonts w:hint="eastAsia" w:ascii="ＭＳ 明朝" w:hAnsi="ＭＳ 明朝" w:eastAsia="ＭＳ 明朝"/>
          <w:color w:val="000000" w:themeColor="text1"/>
          <w:sz w:val="24"/>
        </w:rPr>
        <w:t>　　　　※　令和７年度は、令和８年３月３１日時点の数値。</w:t>
      </w:r>
    </w:p>
    <w:p>
      <w:pPr>
        <w:pStyle w:val="0"/>
        <w:ind w:firstLine="960" w:firstLineChars="400"/>
        <w:rPr>
          <w:rFonts w:hint="default" w:ascii="ＭＳ 明朝" w:hAnsi="ＭＳ 明朝" w:eastAsia="ＭＳ 明朝"/>
          <w:color w:val="000000" w:themeColor="text1"/>
          <w:sz w:val="24"/>
        </w:rPr>
      </w:pPr>
      <w:r>
        <w:rPr>
          <w:rFonts w:hint="eastAsia" w:ascii="ＭＳ 明朝" w:hAnsi="ＭＳ 明朝" w:eastAsia="ＭＳ 明朝"/>
          <w:color w:val="000000" w:themeColor="text1"/>
          <w:sz w:val="24"/>
        </w:rPr>
        <w:t>※　特定健康診査について、令和６年度以前は法定報告値を使用。</w:t>
      </w:r>
    </w:p>
    <w:sectPr>
      <w:headerReference r:id="rId6" w:type="default"/>
      <w:footerReference r:id="rId7" w:type="default"/>
      <w:pgSz w:w="11906" w:h="16838"/>
      <w:pgMar w:top="567" w:right="1417" w:bottom="567" w:left="1417" w:header="0" w:footer="115" w:gutter="0"/>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right" w:leader="none" w:pos="8504"/>
      </w:tabs>
      <w:jc w:val="center"/>
      <w:rPr>
        <w:rFonts w:hint="default"/>
        <w:color w:val="000000"/>
      </w:rPr>
    </w:pPr>
    <w:r>
      <w:rPr>
        <w:rFonts w:hint="eastAsia"/>
      </w:rPr>
      <w:fldChar w:fldCharType="begin"/>
    </w:r>
    <w:r>
      <w:rPr>
        <w:rFonts w:hint="eastAsia"/>
      </w:rPr>
      <w:instrText xml:space="preserve">PAGE  \* MERGEFORMAT </w:instrText>
    </w:r>
    <w:r>
      <w:rPr>
        <w:rFonts w:hint="eastAsia"/>
      </w:rPr>
      <w:fldChar w:fldCharType="separate"/>
    </w:r>
    <w:r>
      <w:rPr>
        <w:rFonts w:hint="default"/>
        <w:color w:val="000000"/>
      </w:rPr>
      <w:t>2</w:t>
    </w:r>
    <w:r>
      <w:rPr>
        <w:rFonts w:hint="eastAsia"/>
      </w:rPr>
      <w:fldChar w:fldCharType="end"/>
    </w:r>
  </w:p>
  <w:p>
    <w:pPr>
      <w:pStyle w:val="0"/>
      <w:tabs>
        <w:tab w:val="center" w:leader="none" w:pos="4252"/>
        <w:tab w:val="right" w:leader="none" w:pos="8504"/>
      </w:tabs>
      <w:rPr>
        <w:rFonts w:hint="default"/>
        <w:color w:val="00000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right" w:leader="none" w:pos="8504"/>
      </w:tabs>
      <w:jc w:val="center"/>
      <w:rPr>
        <w:rFonts w:hint="default"/>
        <w:color w:val="000000"/>
      </w:rPr>
    </w:pPr>
  </w:p>
  <w:p>
    <w:pPr>
      <w:pStyle w:val="0"/>
      <w:tabs>
        <w:tab w:val="center" w:leader="none" w:pos="4252"/>
        <w:tab w:val="right" w:leader="none" w:pos="8504"/>
      </w:tabs>
      <w:rPr>
        <w:rFonts w:hint="default"/>
        <w:color w:val="00000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EA5C9044"/>
    <w:lvl w:ilvl="0">
      <w:start w:val="1"/>
      <w:numFmt w:val="decimal"/>
      <w:pStyle w:val="1"/>
      <w:lvlText w:val="(%1)"/>
      <w:lvlJc w:val="left"/>
      <w:pPr>
        <w:ind w:left="420" w:hanging="420"/>
      </w:pPr>
    </w:lvl>
    <w:lvl w:ilvl="1">
      <w:start w:val="1"/>
      <w:numFmt w:val="decimal"/>
      <w:pStyle w:val="2"/>
      <w:lvlText w:val="(%2)"/>
      <w:lvlJc w:val="left"/>
      <w:pPr>
        <w:ind w:left="840" w:hanging="420"/>
      </w:pPr>
    </w:lvl>
    <w:lvl w:ilvl="2">
      <w:start w:val="1"/>
      <w:numFmt w:val="decimal"/>
      <w:pStyle w:val="3"/>
      <w:lvlText w:val="%3"/>
      <w:lvlJc w:val="left"/>
      <w:pPr>
        <w:ind w:left="1260" w:hanging="420"/>
      </w:pPr>
    </w:lvl>
    <w:lvl w:ilvl="3">
      <w:start w:val="1"/>
      <w:numFmt w:val="decimal"/>
      <w:pStyle w:val="4"/>
      <w:lvlText w:val="%4."/>
      <w:lvlJc w:val="left"/>
      <w:pPr>
        <w:ind w:left="1680" w:hanging="420"/>
      </w:pPr>
    </w:lvl>
    <w:lvl w:ilvl="4">
      <w:start w:val="1"/>
      <w:numFmt w:val="decimal"/>
      <w:pStyle w:val="5"/>
      <w:lvlText w:val="(%5)"/>
      <w:lvlJc w:val="left"/>
      <w:pPr>
        <w:ind w:left="2100" w:hanging="420"/>
      </w:pPr>
    </w:lvl>
    <w:lvl w:ilvl="5">
      <w:start w:val="1"/>
      <w:numFmt w:val="decimal"/>
      <w:pStyle w:val="6"/>
      <w:lvlText w:val="%6"/>
      <w:lvlJc w:val="left"/>
      <w:pPr>
        <w:ind w:left="2520" w:hanging="420"/>
      </w:pPr>
    </w:lvl>
    <w:lvl w:ilvl="6">
      <w:start w:val="1"/>
      <w:numFmt w:val="decimal"/>
      <w:pStyle w:val="7"/>
      <w:lvlText w:val="%7."/>
      <w:lvlJc w:val="left"/>
      <w:pPr>
        <w:ind w:left="2940" w:hanging="420"/>
      </w:pPr>
    </w:lvl>
    <w:lvl w:ilvl="7">
      <w:start w:val="1"/>
      <w:numFmt w:val="decimal"/>
      <w:pStyle w:val="8"/>
      <w:lvlText w:val="(%8)"/>
      <w:lvlJc w:val="left"/>
      <w:pPr>
        <w:ind w:left="3360" w:hanging="420"/>
      </w:pPr>
    </w:lvl>
    <w:lvl w:ilvl="8">
      <w:start w:val="1"/>
      <w:numFmt w:val="decimal"/>
      <w:pStyle w:val="9"/>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48"/>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pPrDefault>
      <w:pPr>
        <w:jc w:val="both"/>
      </w:pPr>
    </w:pPrDefault>
  </w:docDefaults>
  <w:style w:type="paragraph" w:styleId="0" w:default="1">
    <w:name w:val="Normal"/>
    <w:next w:val="0"/>
    <w:link w:val="0"/>
    <w:uiPriority w:val="0"/>
    <w:qFormat/>
    <w:rPr/>
  </w:style>
  <w:style w:type="paragraph" w:styleId="1">
    <w:name w:val="heading 1"/>
    <w:basedOn w:val="0"/>
    <w:next w:val="0"/>
    <w:link w:val="23"/>
    <w:uiPriority w:val="0"/>
    <w:qFormat/>
    <w:pPr>
      <w:keepNext w:val="1"/>
      <w:numPr>
        <w:ilvl w:val="0"/>
        <w:numId w:val="1"/>
      </w:numPr>
      <w:outlineLvl w:val="0"/>
    </w:pPr>
    <w:rPr>
      <w:rFonts w:asciiTheme="majorHAnsi" w:hAnsiTheme="majorHAnsi" w:eastAsiaTheme="majorEastAsia"/>
      <w:sz w:val="24"/>
    </w:rPr>
  </w:style>
  <w:style w:type="paragraph" w:styleId="2">
    <w:name w:val="heading 2"/>
    <w:basedOn w:val="0"/>
    <w:next w:val="0"/>
    <w:link w:val="24"/>
    <w:uiPriority w:val="0"/>
    <w:qFormat/>
    <w:pPr>
      <w:keepNext w:val="1"/>
      <w:numPr>
        <w:ilvl w:val="1"/>
        <w:numId w:val="1"/>
      </w:numPr>
      <w:outlineLvl w:val="1"/>
    </w:pPr>
    <w:rPr>
      <w:rFonts w:asciiTheme="majorHAnsi" w:hAnsiTheme="majorHAnsi" w:eastAsiaTheme="majorEastAsia"/>
    </w:rPr>
  </w:style>
  <w:style w:type="paragraph" w:styleId="3">
    <w:name w:val="heading 3"/>
    <w:basedOn w:val="0"/>
    <w:next w:val="0"/>
    <w:link w:val="25"/>
    <w:uiPriority w:val="0"/>
    <w:qFormat/>
    <w:pPr>
      <w:keepNext w:val="1"/>
      <w:numPr>
        <w:ilvl w:val="2"/>
        <w:numId w:val="1"/>
      </w:numPr>
      <w:ind w:left="993"/>
      <w:outlineLvl w:val="2"/>
    </w:pPr>
    <w:rPr>
      <w:rFonts w:asciiTheme="majorHAnsi" w:hAnsiTheme="majorHAnsi" w:eastAsiaTheme="majorEastAsia"/>
    </w:rPr>
  </w:style>
  <w:style w:type="paragraph" w:styleId="4">
    <w:name w:val="heading 4"/>
    <w:basedOn w:val="0"/>
    <w:next w:val="0"/>
    <w:link w:val="26"/>
    <w:uiPriority w:val="0"/>
    <w:qFormat/>
    <w:pPr>
      <w:keepNext w:val="1"/>
      <w:numPr>
        <w:ilvl w:val="3"/>
        <w:numId w:val="1"/>
      </w:numPr>
      <w:ind w:left="1277"/>
      <w:outlineLvl w:val="3"/>
    </w:pPr>
    <w:rPr>
      <w:b w:val="1"/>
    </w:rPr>
  </w:style>
  <w:style w:type="paragraph" w:styleId="5">
    <w:name w:val="heading 5"/>
    <w:basedOn w:val="0"/>
    <w:next w:val="0"/>
    <w:link w:val="27"/>
    <w:uiPriority w:val="0"/>
    <w:qFormat/>
    <w:pPr>
      <w:keepNext w:val="1"/>
      <w:numPr>
        <w:ilvl w:val="4"/>
        <w:numId w:val="1"/>
      </w:numPr>
      <w:outlineLvl w:val="4"/>
    </w:pPr>
    <w:rPr>
      <w:rFonts w:asciiTheme="majorHAnsi" w:hAnsiTheme="majorHAnsi" w:eastAsiaTheme="majorEastAsia"/>
    </w:rPr>
  </w:style>
  <w:style w:type="paragraph" w:styleId="6">
    <w:name w:val="heading 6"/>
    <w:basedOn w:val="0"/>
    <w:next w:val="0"/>
    <w:link w:val="28"/>
    <w:uiPriority w:val="0"/>
    <w:qFormat/>
    <w:pPr>
      <w:keepNext w:val="1"/>
      <w:numPr>
        <w:ilvl w:val="5"/>
        <w:numId w:val="1"/>
      </w:numPr>
      <w:outlineLvl w:val="5"/>
    </w:pPr>
    <w:rPr>
      <w:b w:val="1"/>
    </w:rPr>
  </w:style>
  <w:style w:type="paragraph" w:styleId="7">
    <w:name w:val="heading 7"/>
    <w:basedOn w:val="0"/>
    <w:next w:val="0"/>
    <w:link w:val="29"/>
    <w:uiPriority w:val="0"/>
    <w:qFormat/>
    <w:pPr>
      <w:keepNext w:val="1"/>
      <w:numPr>
        <w:ilvl w:val="6"/>
        <w:numId w:val="1"/>
      </w:numPr>
      <w:outlineLvl w:val="6"/>
    </w:pPr>
  </w:style>
  <w:style w:type="paragraph" w:styleId="8">
    <w:name w:val="heading 8"/>
    <w:basedOn w:val="0"/>
    <w:next w:val="0"/>
    <w:link w:val="30"/>
    <w:uiPriority w:val="0"/>
    <w:qFormat/>
    <w:pPr>
      <w:keepNext w:val="1"/>
      <w:numPr>
        <w:ilvl w:val="7"/>
        <w:numId w:val="1"/>
      </w:numPr>
      <w:outlineLvl w:val="7"/>
    </w:pPr>
  </w:style>
  <w:style w:type="paragraph" w:styleId="9">
    <w:name w:val="heading 9"/>
    <w:basedOn w:val="0"/>
    <w:next w:val="0"/>
    <w:link w:val="31"/>
    <w:uiPriority w:val="0"/>
    <w:qFormat/>
    <w:pPr>
      <w:keepNext w:val="1"/>
      <w:numPr>
        <w:ilvl w:val="8"/>
        <w:numId w:val="1"/>
      </w:numPr>
      <w:outlineLvl w:val="8"/>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qFormat/>
    <w:pPr>
      <w:keepNext w:val="1"/>
      <w:keepLines w:val="1"/>
      <w:spacing w:before="480" w:beforeLines="0" w:beforeAutospacing="0" w:after="120" w:afterLines="0" w:afterAutospacing="0"/>
    </w:pPr>
    <w:rPr>
      <w:b w:val="1"/>
      <w:sz w:val="72"/>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List Paragraph"/>
    <w:basedOn w:val="0"/>
    <w:next w:val="22"/>
    <w:link w:val="0"/>
    <w:uiPriority w:val="0"/>
    <w:qFormat/>
    <w:pPr>
      <w:ind w:left="840" w:leftChars="400"/>
    </w:pPr>
  </w:style>
  <w:style w:type="character" w:styleId="23" w:customStyle="1">
    <w:name w:val="見出し 1 (文字)"/>
    <w:basedOn w:val="10"/>
    <w:next w:val="23"/>
    <w:link w:val="1"/>
    <w:uiPriority w:val="0"/>
    <w:rPr>
      <w:rFonts w:asciiTheme="majorHAnsi" w:hAnsiTheme="majorHAnsi" w:eastAsiaTheme="majorEastAsia"/>
      <w:sz w:val="24"/>
    </w:rPr>
  </w:style>
  <w:style w:type="character" w:styleId="24" w:customStyle="1">
    <w:name w:val="見出し 2 (文字)"/>
    <w:basedOn w:val="10"/>
    <w:next w:val="24"/>
    <w:link w:val="2"/>
    <w:uiPriority w:val="0"/>
    <w:rPr>
      <w:rFonts w:asciiTheme="majorHAnsi" w:hAnsiTheme="majorHAnsi" w:eastAsiaTheme="majorEastAsia"/>
    </w:rPr>
  </w:style>
  <w:style w:type="character" w:styleId="25" w:customStyle="1">
    <w:name w:val="見出し 3 (文字)"/>
    <w:basedOn w:val="10"/>
    <w:next w:val="25"/>
    <w:link w:val="3"/>
    <w:uiPriority w:val="0"/>
    <w:rPr>
      <w:rFonts w:asciiTheme="majorHAnsi" w:hAnsiTheme="majorHAnsi" w:eastAsiaTheme="majorEastAsia"/>
    </w:rPr>
  </w:style>
  <w:style w:type="character" w:styleId="26" w:customStyle="1">
    <w:name w:val="見出し 4 (文字)"/>
    <w:basedOn w:val="10"/>
    <w:next w:val="26"/>
    <w:link w:val="4"/>
    <w:uiPriority w:val="0"/>
    <w:rPr>
      <w:b w:val="1"/>
    </w:rPr>
  </w:style>
  <w:style w:type="character" w:styleId="27" w:customStyle="1">
    <w:name w:val="見出し 5 (文字)"/>
    <w:basedOn w:val="10"/>
    <w:next w:val="27"/>
    <w:link w:val="5"/>
    <w:uiPriority w:val="0"/>
    <w:rPr>
      <w:rFonts w:asciiTheme="majorHAnsi" w:hAnsiTheme="majorHAnsi" w:eastAsiaTheme="majorEastAsia"/>
    </w:rPr>
  </w:style>
  <w:style w:type="character" w:styleId="28" w:customStyle="1">
    <w:name w:val="見出し 6 (文字)"/>
    <w:basedOn w:val="10"/>
    <w:next w:val="28"/>
    <w:link w:val="6"/>
    <w:uiPriority w:val="0"/>
    <w:rPr>
      <w:b w:val="1"/>
    </w:rPr>
  </w:style>
  <w:style w:type="character" w:styleId="29" w:customStyle="1">
    <w:name w:val="見出し 7 (文字)"/>
    <w:basedOn w:val="10"/>
    <w:next w:val="29"/>
    <w:link w:val="7"/>
    <w:uiPriority w:val="0"/>
  </w:style>
  <w:style w:type="character" w:styleId="30" w:customStyle="1">
    <w:name w:val="見出し 8 (文字)"/>
    <w:basedOn w:val="10"/>
    <w:next w:val="30"/>
    <w:link w:val="8"/>
    <w:uiPriority w:val="0"/>
  </w:style>
  <w:style w:type="character" w:styleId="31" w:customStyle="1">
    <w:name w:val="見出し 9 (文字)"/>
    <w:basedOn w:val="10"/>
    <w:next w:val="31"/>
    <w:link w:val="9"/>
    <w:uiPriority w:val="0"/>
  </w:style>
  <w:style w:type="character" w:styleId="32">
    <w:name w:val="annotation reference"/>
    <w:basedOn w:val="10"/>
    <w:next w:val="32"/>
    <w:link w:val="0"/>
    <w:uiPriority w:val="0"/>
    <w:semiHidden/>
    <w:rPr>
      <w:sz w:val="18"/>
    </w:rPr>
  </w:style>
  <w:style w:type="paragraph" w:styleId="33">
    <w:name w:val="annotation text"/>
    <w:basedOn w:val="0"/>
    <w:next w:val="33"/>
    <w:link w:val="34"/>
    <w:uiPriority w:val="0"/>
    <w:semiHidden/>
    <w:pPr>
      <w:jc w:val="left"/>
    </w:pPr>
  </w:style>
  <w:style w:type="character" w:styleId="34" w:customStyle="1">
    <w:name w:val="コメント文字列 (文字)"/>
    <w:basedOn w:val="10"/>
    <w:next w:val="34"/>
    <w:link w:val="33"/>
    <w:uiPriority w:val="0"/>
  </w:style>
  <w:style w:type="paragraph" w:styleId="35">
    <w:name w:val="annotation subject"/>
    <w:basedOn w:val="33"/>
    <w:next w:val="33"/>
    <w:link w:val="36"/>
    <w:uiPriority w:val="0"/>
    <w:semiHidden/>
    <w:rPr>
      <w:b w:val="1"/>
    </w:rPr>
  </w:style>
  <w:style w:type="character" w:styleId="36" w:customStyle="1">
    <w:name w:val="コメント内容 (文字)"/>
    <w:basedOn w:val="34"/>
    <w:next w:val="36"/>
    <w:link w:val="35"/>
    <w:uiPriority w:val="0"/>
    <w:rPr>
      <w:b w:val="1"/>
    </w:rPr>
  </w:style>
  <w:style w:type="paragraph" w:styleId="37">
    <w:name w:val="Revision"/>
    <w:next w:val="37"/>
    <w:link w:val="0"/>
    <w:uiPriority w:val="0"/>
    <w:rPr/>
  </w:style>
  <w:style w:type="paragraph" w:styleId="38">
    <w:name w:val="Subtitle"/>
    <w:basedOn w:val="0"/>
    <w:next w:val="0"/>
    <w:link w:val="0"/>
    <w:uiPriority w:val="0"/>
    <w:pPr>
      <w:keepNext w:val="1"/>
      <w:keepLines w:val="1"/>
      <w:spacing w:before="360" w:beforeLines="0" w:beforeAutospacing="0" w:after="80" w:afterLines="0" w:afterAutospacing="0"/>
    </w:pPr>
    <w:rPr>
      <w:rFonts w:ascii="Georgia" w:hAnsi="Georgia" w:eastAsia="Georgia"/>
      <w:i w:val="1"/>
      <w:color w:val="666666"/>
      <w:sz w:val="48"/>
    </w:rPr>
  </w:style>
  <w:style w:type="paragraph" w:styleId="39">
    <w:name w:val="Normal (Web)"/>
    <w:basedOn w:val="0"/>
    <w:next w:val="39"/>
    <w:link w:val="0"/>
    <w:uiPriority w:val="0"/>
    <w:pPr>
      <w:widowControl w:val="1"/>
      <w:spacing w:before="100" w:beforeLines="0" w:beforeAutospacing="1" w:after="100" w:afterLines="0" w:afterAutospacing="1"/>
      <w:jc w:val="left"/>
    </w:pPr>
    <w:rPr>
      <w:rFonts w:ascii="ＭＳ Ｐゴシック" w:hAnsi="ＭＳ Ｐゴシック" w:eastAsia="ＭＳ Ｐゴシック"/>
      <w:sz w:val="24"/>
    </w:rPr>
  </w:style>
  <w:style w:type="character" w:styleId="40">
    <w:name w:val="footnote reference"/>
    <w:basedOn w:val="10"/>
    <w:next w:val="40"/>
    <w:link w:val="0"/>
    <w:uiPriority w:val="0"/>
    <w:semiHidden/>
    <w:rPr>
      <w:vertAlign w:val="superscript"/>
    </w:rPr>
  </w:style>
  <w:style w:type="character" w:styleId="41">
    <w:name w:val="endnote reference"/>
    <w:basedOn w:val="10"/>
    <w:next w:val="41"/>
    <w:link w:val="0"/>
    <w:uiPriority w:val="0"/>
    <w:semiHidden/>
    <w:rPr>
      <w:vertAlign w:val="superscript"/>
    </w:rPr>
  </w:style>
  <w:style w:type="table" w:styleId="42" w:customStyle="1">
    <w:name w:val="Table Normal"/>
    <w:basedOn w:val="11"/>
    <w:next w:val="42"/>
    <w:link w:val="0"/>
    <w:uiPriority w:val="0"/>
    <w:tblPr>
      <w:tblStyleRowBandSize w:val="1"/>
      <w:tblStyleColBandSize w:val="1"/>
      <w:tblCellMar>
        <w:top w:w="0" w:type="dxa"/>
        <w:bottom w:w="0" w:type="dxa"/>
        <w:left w:w="0" w:type="dxa"/>
        <w:right w:w="0" w:type="dxa"/>
      </w:tblCellMar>
    </w:tblPr>
    <w:trPr/>
    <w:tcPr/>
  </w:style>
  <w:style w:type="table" w:styleId="43" w:customStyle="1">
    <w:name w:val="Table Normal1"/>
    <w:basedOn w:val="11"/>
    <w:next w:val="43"/>
    <w:link w:val="0"/>
    <w:uiPriority w:val="0"/>
    <w:tblPr>
      <w:tblStyleRowBandSize w:val="1"/>
      <w:tblStyleColBandSize w:val="1"/>
      <w:tblCellMar>
        <w:top w:w="0" w:type="dxa"/>
        <w:bottom w:w="0" w:type="dxa"/>
        <w:left w:w="0" w:type="dxa"/>
        <w:right w:w="0" w:type="dxa"/>
      </w:tblCellMar>
    </w:tblPr>
    <w:trPr/>
    <w:tcPr/>
  </w:style>
  <w:style w:type="table" w:styleId="44" w:customStyle="1">
    <w:name w:val="Table Normal2"/>
    <w:basedOn w:val="11"/>
    <w:next w:val="44"/>
    <w:link w:val="0"/>
    <w:uiPriority w:val="0"/>
    <w:tblPr>
      <w:tblStyleRowBandSize w:val="1"/>
      <w:tblStyleColBandSize w:val="1"/>
      <w:tblCellMar>
        <w:top w:w="0" w:type="dxa"/>
        <w:bottom w:w="0" w:type="dxa"/>
        <w:left w:w="0" w:type="dxa"/>
        <w:right w:w="0" w:type="dxa"/>
      </w:tblCellMar>
    </w:tblPr>
    <w:trPr/>
    <w:tcPr/>
  </w:style>
  <w:style w:type="table" w:styleId="45" w:customStyle="1">
    <w:name w:val="Table Normal3"/>
    <w:basedOn w:val="11"/>
    <w:next w:val="45"/>
    <w:link w:val="0"/>
    <w:uiPriority w:val="0"/>
    <w:tblPr>
      <w:tblStyleRowBandSize w:val="1"/>
      <w:tblStyleColBandSize w:val="1"/>
      <w:tblCellMar>
        <w:top w:w="0" w:type="dxa"/>
        <w:bottom w:w="0" w:type="dxa"/>
        <w:left w:w="0" w:type="dxa"/>
        <w:right w:w="0" w:type="dxa"/>
      </w:tblCellMar>
    </w:tblPr>
    <w:trPr/>
    <w:tcPr/>
  </w:style>
  <w:style w:type="table" w:styleId="46" w:customStyle="1">
    <w:name w:val="Table Normal4"/>
    <w:basedOn w:val="11"/>
    <w:next w:val="46"/>
    <w:link w:val="0"/>
    <w:uiPriority w:val="0"/>
    <w:tblPr>
      <w:tblStyleRowBandSize w:val="1"/>
      <w:tblStyleColBandSize w:val="1"/>
      <w:tblCellMar>
        <w:top w:w="0" w:type="dxa"/>
        <w:bottom w:w="0" w:type="dxa"/>
        <w:left w:w="0" w:type="dxa"/>
        <w:right w:w="0" w:type="dxa"/>
      </w:tblCellMar>
    </w:tblPr>
    <w:trPr/>
    <w:tcPr/>
  </w:style>
  <w:style w:type="table" w:styleId="47">
    <w:name w:val="Table Grid"/>
    <w:basedOn w:val="11"/>
    <w:next w:val="47"/>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 w:type="table" w:styleId="48" w:customStyle="1">
    <w:name w:val="表（シンプル 1）"/>
    <w:basedOn w:val="11"/>
    <w:next w:val="4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972</TotalTime>
  <Pages>2</Pages>
  <Words>54</Words>
  <Characters>1621</Characters>
  <Application>JUST Note</Application>
  <Lines>116</Lines>
  <Paragraphs>92</Paragraphs>
  <Company>尾張旭市役所</Company>
  <CharactersWithSpaces>1660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cancerscan</dc:creator>
  <cp:lastModifiedBy>11835</cp:lastModifiedBy>
  <cp:lastPrinted>2026-04-10T00:44:06Z</cp:lastPrinted>
  <dcterms:created xsi:type="dcterms:W3CDTF">2022-12-29T11:34:00Z</dcterms:created>
  <dcterms:modified xsi:type="dcterms:W3CDTF">2026-04-10T00:43:55Z</dcterms:modified>
  <cp:revision>46</cp:revision>
</cp:coreProperties>
</file>